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77" w:rsidRPr="008E1F8D" w:rsidRDefault="00161877" w:rsidP="0039636F">
      <w:pPr>
        <w:jc w:val="center"/>
      </w:pPr>
    </w:p>
    <w:p w:rsidR="00161877" w:rsidRPr="008E1F8D" w:rsidRDefault="00161877" w:rsidP="0039636F">
      <w:pPr>
        <w:jc w:val="center"/>
      </w:pPr>
    </w:p>
    <w:p w:rsidR="00F71A6A" w:rsidRPr="005B2522" w:rsidRDefault="00F71A6A" w:rsidP="0039636F">
      <w:pPr>
        <w:jc w:val="center"/>
      </w:pPr>
    </w:p>
    <w:p w:rsidR="00F71A6A" w:rsidRPr="005B2522" w:rsidRDefault="00F22905" w:rsidP="0039636F">
      <w:pPr>
        <w:jc w:val="center"/>
      </w:pPr>
      <w:r w:rsidRPr="005B2522">
        <w:t>SECOND SECTION</w:t>
      </w:r>
    </w:p>
    <w:p w:rsidR="00161877" w:rsidRDefault="00161877" w:rsidP="0039636F">
      <w:pPr>
        <w:jc w:val="center"/>
      </w:pPr>
    </w:p>
    <w:p w:rsidR="00161877" w:rsidRDefault="00161877" w:rsidP="0039636F">
      <w:pPr>
        <w:jc w:val="center"/>
      </w:pPr>
    </w:p>
    <w:p w:rsidR="00161877" w:rsidRDefault="00161877" w:rsidP="0039636F">
      <w:pPr>
        <w:jc w:val="center"/>
      </w:pPr>
    </w:p>
    <w:p w:rsidR="00161877" w:rsidRDefault="00161877" w:rsidP="0039636F">
      <w:pPr>
        <w:jc w:val="center"/>
      </w:pPr>
    </w:p>
    <w:p w:rsidR="00161877" w:rsidRDefault="00161877" w:rsidP="0039636F">
      <w:pPr>
        <w:jc w:val="center"/>
      </w:pPr>
    </w:p>
    <w:p w:rsidR="00F71A6A" w:rsidRPr="005B2522" w:rsidRDefault="00F71A6A" w:rsidP="0039636F">
      <w:pPr>
        <w:jc w:val="center"/>
      </w:pPr>
    </w:p>
    <w:p w:rsidR="00F71A6A" w:rsidRPr="005B2522" w:rsidRDefault="00F71A6A" w:rsidP="0039636F">
      <w:pPr>
        <w:jc w:val="center"/>
        <w:rPr>
          <w:b/>
        </w:rPr>
      </w:pPr>
      <w:bookmarkStart w:id="0" w:name="To"/>
      <w:r w:rsidRPr="005B2522">
        <w:rPr>
          <w:b/>
        </w:rPr>
        <w:t xml:space="preserve">CASE OF </w:t>
      </w:r>
      <w:bookmarkEnd w:id="0"/>
      <w:r w:rsidR="00F22905" w:rsidRPr="005B2522">
        <w:rPr>
          <w:b/>
        </w:rPr>
        <w:t>VARAPNICKAIT</w:t>
      </w:r>
      <w:r w:rsidR="00F95909">
        <w:rPr>
          <w:b/>
        </w:rPr>
        <w:t>Ė</w:t>
      </w:r>
      <w:r w:rsidR="00F22905" w:rsidRPr="005B2522">
        <w:rPr>
          <w:b/>
        </w:rPr>
        <w:t>-MA</w:t>
      </w:r>
      <w:r w:rsidR="00F95909">
        <w:rPr>
          <w:b/>
        </w:rPr>
        <w:t>Ž</w:t>
      </w:r>
      <w:r w:rsidR="00F22905" w:rsidRPr="005B2522">
        <w:rPr>
          <w:b/>
        </w:rPr>
        <w:t>YLIEN</w:t>
      </w:r>
      <w:r w:rsidR="00F95909">
        <w:rPr>
          <w:b/>
        </w:rPr>
        <w:t>Ė</w:t>
      </w:r>
      <w:r w:rsidR="00F22905" w:rsidRPr="005B2522">
        <w:rPr>
          <w:b/>
        </w:rPr>
        <w:t xml:space="preserve"> v. </w:t>
      </w:r>
      <w:smartTag w:uri="urn:schemas-microsoft-com:office:smarttags" w:element="place">
        <w:smartTag w:uri="urn:schemas-microsoft-com:office:smarttags" w:element="country-region">
          <w:r w:rsidR="00F22905" w:rsidRPr="005B2522">
            <w:rPr>
              <w:b/>
            </w:rPr>
            <w:t>LITHUANIA</w:t>
          </w:r>
        </w:smartTag>
      </w:smartTag>
    </w:p>
    <w:p w:rsidR="00F71A6A" w:rsidRPr="005B2522" w:rsidRDefault="00F71A6A" w:rsidP="0039636F">
      <w:pPr>
        <w:jc w:val="center"/>
      </w:pPr>
    </w:p>
    <w:p w:rsidR="00F71A6A" w:rsidRPr="005B2522" w:rsidRDefault="00F71A6A" w:rsidP="0039636F">
      <w:pPr>
        <w:jc w:val="center"/>
        <w:rPr>
          <w:i/>
        </w:rPr>
      </w:pPr>
      <w:r w:rsidRPr="005B2522">
        <w:rPr>
          <w:i/>
        </w:rPr>
        <w:t>(</w:t>
      </w:r>
      <w:r w:rsidR="00F22905" w:rsidRPr="005B2522">
        <w:rPr>
          <w:i/>
          <w:noProof/>
        </w:rPr>
        <w:t>Application no. 20376/05</w:t>
      </w:r>
      <w:r w:rsidRPr="005B2522">
        <w:rPr>
          <w:i/>
        </w:rPr>
        <w:t>)</w:t>
      </w:r>
    </w:p>
    <w:p w:rsidR="00F71A6A" w:rsidRDefault="00F71A6A" w:rsidP="0039636F">
      <w:pPr>
        <w:jc w:val="center"/>
      </w:pPr>
    </w:p>
    <w:p w:rsidR="00FD0913" w:rsidRDefault="00FD0913" w:rsidP="0039636F">
      <w:pPr>
        <w:jc w:val="center"/>
      </w:pPr>
    </w:p>
    <w:p w:rsidR="00FD0913" w:rsidRDefault="00FD0913" w:rsidP="0039636F">
      <w:pPr>
        <w:jc w:val="center"/>
      </w:pPr>
    </w:p>
    <w:p w:rsidR="00FD0913" w:rsidRDefault="00FD0913" w:rsidP="0039636F">
      <w:pPr>
        <w:jc w:val="center"/>
      </w:pPr>
    </w:p>
    <w:p w:rsidR="00FD0913" w:rsidRPr="005B2522" w:rsidRDefault="00FD0913" w:rsidP="0039636F">
      <w:pPr>
        <w:jc w:val="center"/>
      </w:pPr>
    </w:p>
    <w:p w:rsidR="00F71A6A" w:rsidRPr="005B2522" w:rsidRDefault="00F71A6A" w:rsidP="0039636F">
      <w:pPr>
        <w:jc w:val="center"/>
      </w:pPr>
    </w:p>
    <w:p w:rsidR="00F71A6A" w:rsidRPr="00161877" w:rsidRDefault="00161877" w:rsidP="00161877">
      <w:pPr>
        <w:jc w:val="center"/>
      </w:pPr>
      <w:r>
        <w:t>JUDGMENT</w:t>
      </w:r>
    </w:p>
    <w:p w:rsidR="00F71A6A" w:rsidRPr="005B2522" w:rsidRDefault="00F71A6A" w:rsidP="003D4B4A">
      <w:pPr>
        <w:jc w:val="center"/>
        <w:rPr>
          <w:szCs w:val="24"/>
        </w:rPr>
      </w:pPr>
    </w:p>
    <w:p w:rsidR="00161877" w:rsidRDefault="00161877" w:rsidP="00161877">
      <w:pPr>
        <w:pStyle w:val="JuPara"/>
        <w:ind w:firstLine="0"/>
        <w:jc w:val="center"/>
        <w:rPr>
          <w:szCs w:val="24"/>
        </w:rPr>
      </w:pPr>
    </w:p>
    <w:p w:rsidR="00161877" w:rsidRDefault="00161877" w:rsidP="00161877">
      <w:pPr>
        <w:pStyle w:val="JuPara"/>
        <w:ind w:firstLine="0"/>
        <w:jc w:val="center"/>
        <w:rPr>
          <w:szCs w:val="24"/>
        </w:rPr>
      </w:pPr>
    </w:p>
    <w:p w:rsidR="00161877" w:rsidRDefault="00161877" w:rsidP="00161877">
      <w:pPr>
        <w:pStyle w:val="JuPara"/>
        <w:ind w:firstLine="0"/>
        <w:jc w:val="center"/>
        <w:rPr>
          <w:szCs w:val="24"/>
        </w:rPr>
      </w:pPr>
      <w:smartTag w:uri="urn:schemas-microsoft-com:office:smarttags" w:element="place">
        <w:smartTag w:uri="urn:schemas-microsoft-com:office:smarttags" w:element="City">
          <w:r>
            <w:rPr>
              <w:szCs w:val="24"/>
            </w:rPr>
            <w:t>STRASBOURG</w:t>
          </w:r>
        </w:smartTag>
      </w:smartTag>
    </w:p>
    <w:p w:rsidR="00161877" w:rsidRDefault="00161877" w:rsidP="00161877">
      <w:pPr>
        <w:pStyle w:val="JuPara"/>
        <w:ind w:firstLine="0"/>
        <w:jc w:val="center"/>
        <w:rPr>
          <w:szCs w:val="24"/>
        </w:rPr>
      </w:pPr>
    </w:p>
    <w:p w:rsidR="00161877" w:rsidRDefault="00161877" w:rsidP="00161877">
      <w:pPr>
        <w:pStyle w:val="JuPara"/>
        <w:ind w:firstLine="0"/>
        <w:jc w:val="center"/>
        <w:rPr>
          <w:szCs w:val="24"/>
        </w:rPr>
      </w:pPr>
      <w:r>
        <w:rPr>
          <w:szCs w:val="24"/>
        </w:rPr>
        <w:t>17 January 2012</w:t>
      </w:r>
    </w:p>
    <w:p w:rsidR="00161877" w:rsidRDefault="00161877" w:rsidP="00161877">
      <w:pPr>
        <w:pStyle w:val="JuPara"/>
        <w:ind w:firstLine="0"/>
        <w:jc w:val="center"/>
        <w:rPr>
          <w:szCs w:val="24"/>
        </w:rPr>
      </w:pPr>
    </w:p>
    <w:p w:rsidR="00CE66E6" w:rsidRPr="005428F6" w:rsidRDefault="00CE66E6" w:rsidP="00CE66E6">
      <w:pPr>
        <w:jc w:val="center"/>
        <w:rPr>
          <w:b/>
          <w:bCs/>
          <w:color w:val="FF0000"/>
          <w:sz w:val="28"/>
          <w:szCs w:val="28"/>
          <w:u w:val="single"/>
        </w:rPr>
      </w:pPr>
      <w:r w:rsidRPr="005428F6">
        <w:rPr>
          <w:b/>
          <w:bCs/>
          <w:color w:val="FF0000"/>
          <w:sz w:val="28"/>
          <w:szCs w:val="28"/>
          <w:u w:val="single"/>
        </w:rPr>
        <w:t>FINAL</w:t>
      </w:r>
    </w:p>
    <w:p w:rsidR="00CE66E6" w:rsidRPr="00B54AEE" w:rsidRDefault="00CE66E6" w:rsidP="00CE66E6">
      <w:pPr>
        <w:jc w:val="center"/>
        <w:rPr>
          <w:b/>
          <w:color w:val="FF0000"/>
          <w:u w:val="single"/>
        </w:rPr>
      </w:pPr>
    </w:p>
    <w:p w:rsidR="00CE66E6" w:rsidRPr="00B54AEE" w:rsidRDefault="00CE66E6" w:rsidP="00CE66E6">
      <w:pPr>
        <w:jc w:val="center"/>
        <w:rPr>
          <w:i/>
          <w:color w:val="FF0000"/>
          <w:sz w:val="28"/>
          <w:szCs w:val="28"/>
        </w:rPr>
      </w:pPr>
      <w:r>
        <w:rPr>
          <w:i/>
          <w:color w:val="FF0000"/>
          <w:sz w:val="28"/>
          <w:szCs w:val="28"/>
        </w:rPr>
        <w:t>17/04/2012</w:t>
      </w:r>
    </w:p>
    <w:p w:rsidR="00CE66E6" w:rsidRPr="00B54AEE" w:rsidRDefault="00CE66E6" w:rsidP="00CE66E6">
      <w:pPr>
        <w:jc w:val="center"/>
        <w:rPr>
          <w:i/>
        </w:rPr>
      </w:pPr>
    </w:p>
    <w:p w:rsidR="00161877" w:rsidRPr="00161877" w:rsidRDefault="00CE66E6" w:rsidP="00CE66E6">
      <w:pPr>
        <w:pStyle w:val="JuPara"/>
        <w:ind w:firstLine="0"/>
        <w:jc w:val="left"/>
        <w:rPr>
          <w:szCs w:val="24"/>
        </w:rPr>
        <w:sectPr w:rsidR="00161877" w:rsidRPr="00161877" w:rsidSect="00161877">
          <w:head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titlePg/>
          <w:docGrid w:linePitch="254"/>
        </w:sectPr>
      </w:pPr>
      <w:r w:rsidRPr="00B54AEE">
        <w:rPr>
          <w:i/>
          <w:color w:val="000000"/>
        </w:rPr>
        <w:t xml:space="preserve">This judgment has become final under Article 44 § 2 of the Convention. </w:t>
      </w:r>
      <w:r w:rsidRPr="00BC07F1">
        <w:rPr>
          <w:i/>
          <w:color w:val="000000"/>
        </w:rPr>
        <w:t>It may be subject to editorial revision</w:t>
      </w:r>
      <w:r w:rsidR="00161877">
        <w:rPr>
          <w:i/>
          <w:sz w:val="22"/>
          <w:szCs w:val="24"/>
        </w:rPr>
        <w:t>.</w:t>
      </w:r>
    </w:p>
    <w:p w:rsidR="00F71A6A" w:rsidRPr="005B2522" w:rsidRDefault="00F71A6A" w:rsidP="0039636F">
      <w:pPr>
        <w:pStyle w:val="JuPara"/>
      </w:pPr>
      <w:r w:rsidRPr="005B2522">
        <w:lastRenderedPageBreak/>
        <w:t xml:space="preserve">In the case of </w:t>
      </w:r>
      <w:r w:rsidR="00F22905" w:rsidRPr="005B2522">
        <w:rPr>
          <w:rStyle w:val="JuCaseChar"/>
        </w:rPr>
        <w:t>Varapnickait</w:t>
      </w:r>
      <w:r w:rsidR="00A07953">
        <w:rPr>
          <w:rStyle w:val="JuCaseChar"/>
        </w:rPr>
        <w:t>ė</w:t>
      </w:r>
      <w:r w:rsidR="00F22905" w:rsidRPr="005B2522">
        <w:rPr>
          <w:rStyle w:val="JuCaseChar"/>
        </w:rPr>
        <w:t>-Ma</w:t>
      </w:r>
      <w:r w:rsidR="00A07953">
        <w:rPr>
          <w:rStyle w:val="JuCaseChar"/>
        </w:rPr>
        <w:t>ž</w:t>
      </w:r>
      <w:r w:rsidR="00F22905" w:rsidRPr="005B2522">
        <w:rPr>
          <w:rStyle w:val="JuCaseChar"/>
        </w:rPr>
        <w:t>ylien</w:t>
      </w:r>
      <w:r w:rsidR="00A07953">
        <w:rPr>
          <w:rStyle w:val="JuCaseChar"/>
        </w:rPr>
        <w:t>ė</w:t>
      </w:r>
      <w:r w:rsidR="00F22905" w:rsidRPr="005B2522">
        <w:rPr>
          <w:rStyle w:val="JuCaseChar"/>
        </w:rPr>
        <w:t xml:space="preserve"> v. Lithuania</w:t>
      </w:r>
      <w:r w:rsidRPr="005B2522">
        <w:t>,</w:t>
      </w:r>
    </w:p>
    <w:p w:rsidR="00730433" w:rsidRPr="005B2522" w:rsidRDefault="00F71A6A" w:rsidP="0039636F">
      <w:pPr>
        <w:pStyle w:val="JuPara"/>
      </w:pPr>
      <w:r w:rsidRPr="005B2522">
        <w:t>The European Court of Human Rights (</w:t>
      </w:r>
      <w:r w:rsidR="00F22905" w:rsidRPr="005B2522">
        <w:t>Second Section</w:t>
      </w:r>
      <w:r w:rsidRPr="005B2522">
        <w:t xml:space="preserve">), sitting as a </w:t>
      </w:r>
      <w:r w:rsidR="00F22905" w:rsidRPr="005B2522">
        <w:rPr>
          <w:noProof/>
        </w:rPr>
        <w:t>Chamber</w:t>
      </w:r>
      <w:r w:rsidR="00730433" w:rsidRPr="005B2522">
        <w:t xml:space="preserve"> composed of:</w:t>
      </w:r>
    </w:p>
    <w:p w:rsidR="00F71A6A" w:rsidRPr="005B2522" w:rsidRDefault="00161877" w:rsidP="0039636F">
      <w:pPr>
        <w:pStyle w:val="JuJudges"/>
      </w:pPr>
      <w:r w:rsidRPr="00161877">
        <w:tab/>
        <w:t>Françoise</w:t>
      </w:r>
      <w:r>
        <w:t xml:space="preserve"> </w:t>
      </w:r>
      <w:r w:rsidRPr="00161877">
        <w:t>Tulkens</w:t>
      </w:r>
      <w:r>
        <w:t>,</w:t>
      </w:r>
      <w:r w:rsidRPr="00161877">
        <w:rPr>
          <w:i/>
        </w:rPr>
        <w:t xml:space="preserve"> President,</w:t>
      </w:r>
      <w:r>
        <w:rPr>
          <w:i/>
        </w:rPr>
        <w:br/>
      </w:r>
      <w:r w:rsidRPr="00161877">
        <w:tab/>
        <w:t>Danutė</w:t>
      </w:r>
      <w:r>
        <w:t xml:space="preserve"> </w:t>
      </w:r>
      <w:r w:rsidRPr="00161877">
        <w:t>Jočienė</w:t>
      </w:r>
      <w:r>
        <w:t>,</w:t>
      </w:r>
      <w:r>
        <w:rPr>
          <w:i/>
        </w:rPr>
        <w:br/>
      </w:r>
      <w:r w:rsidRPr="00161877">
        <w:tab/>
        <w:t>Dragoljub</w:t>
      </w:r>
      <w:r>
        <w:t xml:space="preserve"> </w:t>
      </w:r>
      <w:r w:rsidRPr="00161877">
        <w:t>Popović</w:t>
      </w:r>
      <w:r>
        <w:t>,</w:t>
      </w:r>
      <w:r>
        <w:rPr>
          <w:i/>
        </w:rPr>
        <w:br/>
      </w:r>
      <w:r w:rsidRPr="00161877">
        <w:tab/>
        <w:t>Işıl</w:t>
      </w:r>
      <w:r>
        <w:t xml:space="preserve"> </w:t>
      </w:r>
      <w:r w:rsidRPr="00161877">
        <w:t>Karakaş</w:t>
      </w:r>
      <w:r>
        <w:t>,</w:t>
      </w:r>
      <w:r>
        <w:rPr>
          <w:i/>
        </w:rPr>
        <w:br/>
      </w:r>
      <w:r w:rsidRPr="00161877">
        <w:tab/>
        <w:t>Guido</w:t>
      </w:r>
      <w:r>
        <w:t xml:space="preserve"> </w:t>
      </w:r>
      <w:r w:rsidRPr="00161877">
        <w:t>Raimondi</w:t>
      </w:r>
      <w:r>
        <w:t>,</w:t>
      </w:r>
      <w:r>
        <w:rPr>
          <w:i/>
        </w:rPr>
        <w:br/>
      </w:r>
      <w:r w:rsidRPr="00161877">
        <w:tab/>
        <w:t>Paulo</w:t>
      </w:r>
      <w:r>
        <w:t xml:space="preserve"> </w:t>
      </w:r>
      <w:r w:rsidRPr="00161877">
        <w:t>Pinto de Albuquerque</w:t>
      </w:r>
      <w:r>
        <w:t>,</w:t>
      </w:r>
      <w:r>
        <w:rPr>
          <w:i/>
        </w:rPr>
        <w:br/>
      </w:r>
      <w:r w:rsidRPr="00161877">
        <w:tab/>
        <w:t>Helen</w:t>
      </w:r>
      <w:r>
        <w:t xml:space="preserve"> </w:t>
      </w:r>
      <w:r w:rsidRPr="00161877">
        <w:t>Keller</w:t>
      </w:r>
      <w:r>
        <w:t>,</w:t>
      </w:r>
      <w:r w:rsidRPr="00161877">
        <w:rPr>
          <w:i/>
        </w:rPr>
        <w:t xml:space="preserve"> judges,</w:t>
      </w:r>
      <w:r w:rsidR="00337600" w:rsidRPr="005B2522">
        <w:br/>
      </w:r>
      <w:r w:rsidR="00F71A6A" w:rsidRPr="005B2522">
        <w:t>and</w:t>
      </w:r>
      <w:r w:rsidR="000726F6" w:rsidRPr="005B2522">
        <w:t xml:space="preserve"> </w:t>
      </w:r>
      <w:r>
        <w:rPr>
          <w:noProof/>
        </w:rPr>
        <w:t>Francoise Elens-Passos</w:t>
      </w:r>
      <w:r w:rsidR="009D4B87" w:rsidRPr="005B2522">
        <w:rPr>
          <w:rStyle w:val="JuJudgesChar"/>
        </w:rPr>
        <w:t xml:space="preserve">, </w:t>
      </w:r>
      <w:r w:rsidRPr="00161877">
        <w:rPr>
          <w:rStyle w:val="JuJudgesChar"/>
          <w:i/>
        </w:rPr>
        <w:t>Deputy</w:t>
      </w:r>
      <w:r>
        <w:rPr>
          <w:rStyle w:val="JuJudgesChar"/>
        </w:rPr>
        <w:t xml:space="preserve"> </w:t>
      </w:r>
      <w:r w:rsidR="00F22905" w:rsidRPr="005B2522">
        <w:rPr>
          <w:i/>
          <w:noProof/>
        </w:rPr>
        <w:t xml:space="preserve">Section </w:t>
      </w:r>
      <w:r w:rsidR="00F22905" w:rsidRPr="005B2522">
        <w:rPr>
          <w:i/>
          <w:iCs/>
          <w:noProof/>
        </w:rPr>
        <w:t>Registrar</w:t>
      </w:r>
      <w:r w:rsidR="00F71A6A" w:rsidRPr="005B2522">
        <w:rPr>
          <w:i/>
        </w:rPr>
        <w:t>,</w:t>
      </w:r>
    </w:p>
    <w:p w:rsidR="00F71A6A" w:rsidRPr="005B2522" w:rsidRDefault="00F71A6A" w:rsidP="0039636F">
      <w:pPr>
        <w:pStyle w:val="JuPara"/>
      </w:pPr>
      <w:r w:rsidRPr="005B2522">
        <w:t xml:space="preserve">Having deliberated in private on </w:t>
      </w:r>
      <w:r w:rsidR="00161877">
        <w:t>6 December 2011</w:t>
      </w:r>
      <w:r w:rsidRPr="005B2522">
        <w:t>,</w:t>
      </w:r>
    </w:p>
    <w:p w:rsidR="00F71A6A" w:rsidRPr="005B2522" w:rsidRDefault="00F71A6A" w:rsidP="0039636F">
      <w:pPr>
        <w:pStyle w:val="JuPara"/>
      </w:pPr>
      <w:r w:rsidRPr="005B2522">
        <w:t>Delivers the following judgment, which was adopted on that date:</w:t>
      </w:r>
    </w:p>
    <w:p w:rsidR="00F71A6A" w:rsidRPr="005B2522" w:rsidRDefault="00F71A6A" w:rsidP="0039636F">
      <w:pPr>
        <w:pStyle w:val="JuHHead"/>
      </w:pPr>
      <w:r w:rsidRPr="005B2522">
        <w:t>PROCEDURE</w:t>
      </w:r>
    </w:p>
    <w:p w:rsidR="00F71A6A" w:rsidRPr="005B2522" w:rsidRDefault="00C40812" w:rsidP="0039636F">
      <w:pPr>
        <w:pStyle w:val="JuPara"/>
      </w:pPr>
      <w:r w:rsidRPr="005B2522">
        <w:fldChar w:fldCharType="begin"/>
      </w:r>
      <w:r w:rsidR="00F22905" w:rsidRPr="005B2522">
        <w:instrText xml:space="preserve"> SEQ level0 \*arabic </w:instrText>
      </w:r>
      <w:r w:rsidRPr="005B2522">
        <w:fldChar w:fldCharType="separate"/>
      </w:r>
      <w:r w:rsidR="006E0C02">
        <w:rPr>
          <w:noProof/>
        </w:rPr>
        <w:t>1</w:t>
      </w:r>
      <w:r w:rsidRPr="005B2522">
        <w:fldChar w:fldCharType="end"/>
      </w:r>
      <w:r w:rsidR="00F71A6A" w:rsidRPr="005B2522">
        <w:t xml:space="preserve">.  The case originated in </w:t>
      </w:r>
      <w:r w:rsidR="00F22905" w:rsidRPr="005B2522">
        <w:rPr>
          <w:noProof/>
        </w:rPr>
        <w:t>an application (no. 20376/05)</w:t>
      </w:r>
      <w:r w:rsidR="00F71A6A" w:rsidRPr="005B2522">
        <w:t xml:space="preserve"> against </w:t>
      </w:r>
      <w:r w:rsidR="00F22905" w:rsidRPr="005B2522">
        <w:t xml:space="preserve">the </w:t>
      </w:r>
      <w:smartTag w:uri="urn:schemas-microsoft-com:office:smarttags" w:element="place">
        <w:smartTag w:uri="urn:schemas-microsoft-com:office:smarttags" w:element="PlaceType">
          <w:r w:rsidR="00F22905" w:rsidRPr="005B2522">
            <w:t>Republic</w:t>
          </w:r>
        </w:smartTag>
        <w:r w:rsidR="00F22905" w:rsidRPr="005B2522">
          <w:t xml:space="preserve"> of </w:t>
        </w:r>
        <w:smartTag w:uri="urn:schemas-microsoft-com:office:smarttags" w:element="PlaceName">
          <w:r w:rsidR="005B2522" w:rsidRPr="005B2522">
            <w:t>Lithuania</w:t>
          </w:r>
        </w:smartTag>
      </w:smartTag>
      <w:r w:rsidR="00F71A6A" w:rsidRPr="005B2522">
        <w:t xml:space="preserve"> lodged with the </w:t>
      </w:r>
      <w:r w:rsidR="00F22905" w:rsidRPr="005B2522">
        <w:rPr>
          <w:noProof/>
        </w:rPr>
        <w:t>Court under Article 34</w:t>
      </w:r>
      <w:r w:rsidR="004920B1" w:rsidRPr="005B2522">
        <w:t xml:space="preserve"> of the Convention for the Protection of Human Rights and Fundamental Freedoms (“the Convention”)</w:t>
      </w:r>
      <w:r w:rsidR="00F71A6A" w:rsidRPr="005B2522">
        <w:t xml:space="preserve"> by </w:t>
      </w:r>
      <w:r w:rsidR="00F22905" w:rsidRPr="005B2522">
        <w:rPr>
          <w:noProof/>
        </w:rPr>
        <w:t>a Lithuanian national, Ms Jolanta Varapnickait</w:t>
      </w:r>
      <w:r w:rsidR="005B2522" w:rsidRPr="005B2522">
        <w:rPr>
          <w:noProof/>
        </w:rPr>
        <w:t>ė</w:t>
      </w:r>
      <w:r w:rsidR="00F22905" w:rsidRPr="005B2522">
        <w:rPr>
          <w:noProof/>
        </w:rPr>
        <w:t>-Ma</w:t>
      </w:r>
      <w:r w:rsidR="005B2522" w:rsidRPr="005B2522">
        <w:rPr>
          <w:noProof/>
        </w:rPr>
        <w:t>ž</w:t>
      </w:r>
      <w:r w:rsidR="00F22905" w:rsidRPr="005B2522">
        <w:rPr>
          <w:noProof/>
        </w:rPr>
        <w:t>ylien</w:t>
      </w:r>
      <w:r w:rsidR="005B2522" w:rsidRPr="005B2522">
        <w:rPr>
          <w:noProof/>
        </w:rPr>
        <w:t>ė</w:t>
      </w:r>
      <w:r w:rsidR="00F22905" w:rsidRPr="005B2522">
        <w:rPr>
          <w:noProof/>
        </w:rPr>
        <w:t xml:space="preserve"> (“the applicant”), on 20 May 2005</w:t>
      </w:r>
      <w:r w:rsidR="00F71A6A" w:rsidRPr="005B2522">
        <w:t>.</w:t>
      </w:r>
    </w:p>
    <w:p w:rsidR="00F22905" w:rsidRPr="005B2522" w:rsidRDefault="00C40812" w:rsidP="0039636F">
      <w:pPr>
        <w:pStyle w:val="JuPara"/>
        <w:rPr>
          <w:noProof/>
        </w:rPr>
      </w:pPr>
      <w:r w:rsidRPr="005B2522">
        <w:fldChar w:fldCharType="begin"/>
      </w:r>
      <w:r w:rsidR="00F22905" w:rsidRPr="005B2522">
        <w:instrText xml:space="preserve"> SEQ level0 \*arabic </w:instrText>
      </w:r>
      <w:r w:rsidRPr="005B2522">
        <w:fldChar w:fldCharType="separate"/>
      </w:r>
      <w:r w:rsidR="006E0C02">
        <w:rPr>
          <w:noProof/>
        </w:rPr>
        <w:t>2</w:t>
      </w:r>
      <w:r w:rsidRPr="005B2522">
        <w:fldChar w:fldCharType="end"/>
      </w:r>
      <w:r w:rsidR="00F71A6A" w:rsidRPr="005B2522">
        <w:t>.  </w:t>
      </w:r>
      <w:r w:rsidR="00F22905" w:rsidRPr="005B2522">
        <w:rPr>
          <w:noProof/>
        </w:rPr>
        <w:t xml:space="preserve">The applicant was represented by Mr </w:t>
      </w:r>
      <w:r w:rsidR="005B2522" w:rsidRPr="005B2522">
        <w:rPr>
          <w:noProof/>
        </w:rPr>
        <w:t>A. </w:t>
      </w:r>
      <w:r w:rsidR="00F22905" w:rsidRPr="005B2522">
        <w:rPr>
          <w:noProof/>
        </w:rPr>
        <w:t>Marcinkevi</w:t>
      </w:r>
      <w:r w:rsidR="005B2522" w:rsidRPr="005B2522">
        <w:rPr>
          <w:noProof/>
        </w:rPr>
        <w:t>č</w:t>
      </w:r>
      <w:r w:rsidR="00F22905" w:rsidRPr="005B2522">
        <w:rPr>
          <w:noProof/>
        </w:rPr>
        <w:t xml:space="preserve">ius, a lawyer practising in </w:t>
      </w:r>
      <w:smartTag w:uri="urn:schemas-microsoft-com:office:smarttags" w:element="place">
        <w:smartTag w:uri="urn:schemas-microsoft-com:office:smarttags" w:element="City">
          <w:r w:rsidR="005B2522" w:rsidRPr="005B2522">
            <w:rPr>
              <w:noProof/>
            </w:rPr>
            <w:t>V</w:t>
          </w:r>
          <w:r w:rsidR="00F22905" w:rsidRPr="005B2522">
            <w:rPr>
              <w:noProof/>
            </w:rPr>
            <w:t>ilnius</w:t>
          </w:r>
        </w:smartTag>
      </w:smartTag>
      <w:r w:rsidR="00F22905" w:rsidRPr="005B2522">
        <w:rPr>
          <w:noProof/>
        </w:rPr>
        <w:t xml:space="preserve">. </w:t>
      </w:r>
      <w:r w:rsidR="00F71A6A" w:rsidRPr="005B2522">
        <w:t xml:space="preserve">The </w:t>
      </w:r>
      <w:r w:rsidR="00F22905" w:rsidRPr="005B2522">
        <w:t>Lithuanian</w:t>
      </w:r>
      <w:r w:rsidR="00F71A6A" w:rsidRPr="005B2522">
        <w:t xml:space="preserve"> Government (“the Government”) were represented by their Agent, Ms </w:t>
      </w:r>
      <w:r w:rsidR="005B2522" w:rsidRPr="005B2522">
        <w:t>E. Baltutytė</w:t>
      </w:r>
      <w:r w:rsidR="00F71A6A" w:rsidRPr="005B2522">
        <w:t>.</w:t>
      </w:r>
    </w:p>
    <w:p w:rsidR="005B2522" w:rsidRDefault="00C40812" w:rsidP="0039636F">
      <w:pPr>
        <w:pStyle w:val="JuPara"/>
        <w:rPr>
          <w:noProof/>
        </w:rPr>
      </w:pPr>
      <w:r w:rsidRPr="005B2522">
        <w:rPr>
          <w:noProof/>
        </w:rPr>
        <w:fldChar w:fldCharType="begin"/>
      </w:r>
      <w:r w:rsidR="00F22905" w:rsidRPr="005B2522">
        <w:rPr>
          <w:noProof/>
        </w:rPr>
        <w:instrText xml:space="preserve"> SEQ level0 \*arabic </w:instrText>
      </w:r>
      <w:r w:rsidRPr="005B2522">
        <w:rPr>
          <w:noProof/>
        </w:rPr>
        <w:fldChar w:fldCharType="separate"/>
      </w:r>
      <w:r w:rsidR="006E0C02">
        <w:rPr>
          <w:noProof/>
        </w:rPr>
        <w:t>3</w:t>
      </w:r>
      <w:r w:rsidRPr="005B2522">
        <w:rPr>
          <w:noProof/>
        </w:rPr>
        <w:fldChar w:fldCharType="end"/>
      </w:r>
      <w:r w:rsidR="00F22905" w:rsidRPr="005B2522">
        <w:rPr>
          <w:noProof/>
        </w:rPr>
        <w:t>.  </w:t>
      </w:r>
      <w:r w:rsidR="005B2522" w:rsidRPr="005B2522">
        <w:rPr>
          <w:noProof/>
        </w:rPr>
        <w:t>Invoking Article</w:t>
      </w:r>
      <w:r w:rsidR="00161877">
        <w:rPr>
          <w:noProof/>
        </w:rPr>
        <w:t> </w:t>
      </w:r>
      <w:r w:rsidR="005B2522" w:rsidRPr="005B2522">
        <w:rPr>
          <w:noProof/>
        </w:rPr>
        <w:t>8 of the Convention, t</w:t>
      </w:r>
      <w:r w:rsidR="00F22905" w:rsidRPr="005B2522">
        <w:rPr>
          <w:noProof/>
        </w:rPr>
        <w:t xml:space="preserve">he applicant alleged </w:t>
      </w:r>
      <w:r w:rsidR="005B2522" w:rsidRPr="005B2522">
        <w:rPr>
          <w:noProof/>
        </w:rPr>
        <w:t xml:space="preserve">a violation of the right to respect </w:t>
      </w:r>
      <w:r w:rsidR="004017A4">
        <w:rPr>
          <w:noProof/>
        </w:rPr>
        <w:t>for</w:t>
      </w:r>
      <w:r w:rsidR="004017A4" w:rsidRPr="005B2522">
        <w:rPr>
          <w:noProof/>
        </w:rPr>
        <w:t xml:space="preserve"> </w:t>
      </w:r>
      <w:r w:rsidR="005B2522" w:rsidRPr="005B2522">
        <w:rPr>
          <w:noProof/>
        </w:rPr>
        <w:t>her priva</w:t>
      </w:r>
      <w:r w:rsidR="00BB3F4A">
        <w:rPr>
          <w:noProof/>
        </w:rPr>
        <w:t>te life</w:t>
      </w:r>
      <w:r w:rsidR="005B2522" w:rsidRPr="005B2522">
        <w:rPr>
          <w:noProof/>
        </w:rPr>
        <w:t>. On the basis of Article</w:t>
      </w:r>
      <w:r w:rsidR="00161877">
        <w:rPr>
          <w:noProof/>
        </w:rPr>
        <w:t> </w:t>
      </w:r>
      <w:r w:rsidR="005B2522" w:rsidRPr="005B2522">
        <w:rPr>
          <w:noProof/>
        </w:rPr>
        <w:t xml:space="preserve">13 thereof, she also argued that </w:t>
      </w:r>
      <w:r w:rsidR="005B2522">
        <w:rPr>
          <w:noProof/>
        </w:rPr>
        <w:t xml:space="preserve">she had not had an effective remedy </w:t>
      </w:r>
      <w:r w:rsidR="004017A4">
        <w:rPr>
          <w:noProof/>
        </w:rPr>
        <w:t>for</w:t>
      </w:r>
      <w:r w:rsidR="005B2522">
        <w:rPr>
          <w:noProof/>
        </w:rPr>
        <w:t xml:space="preserve"> </w:t>
      </w:r>
      <w:r w:rsidR="004017A4">
        <w:rPr>
          <w:noProof/>
        </w:rPr>
        <w:t xml:space="preserve">the </w:t>
      </w:r>
      <w:r w:rsidR="005B2522">
        <w:rPr>
          <w:noProof/>
        </w:rPr>
        <w:t>alleged violation of her right to privacy.</w:t>
      </w:r>
    </w:p>
    <w:p w:rsidR="00F71A6A" w:rsidRPr="005B2522" w:rsidRDefault="00C40812" w:rsidP="0039636F">
      <w:pPr>
        <w:pStyle w:val="JuPara"/>
      </w:pPr>
      <w:r w:rsidRPr="005B2522">
        <w:fldChar w:fldCharType="begin"/>
      </w:r>
      <w:r w:rsidR="00F22905" w:rsidRPr="005B2522">
        <w:instrText xml:space="preserve"> SEQ level0 \*arabic </w:instrText>
      </w:r>
      <w:r w:rsidRPr="005B2522">
        <w:fldChar w:fldCharType="separate"/>
      </w:r>
      <w:r w:rsidR="006E0C02">
        <w:rPr>
          <w:noProof/>
        </w:rPr>
        <w:t>4</w:t>
      </w:r>
      <w:r w:rsidRPr="005B2522">
        <w:fldChar w:fldCharType="end"/>
      </w:r>
      <w:r w:rsidR="00F71A6A" w:rsidRPr="005B2522">
        <w:t xml:space="preserve">.  On </w:t>
      </w:r>
      <w:r w:rsidR="00C22851">
        <w:t>11 May</w:t>
      </w:r>
      <w:r w:rsidR="00161877">
        <w:t> </w:t>
      </w:r>
      <w:r w:rsidR="00F22905" w:rsidRPr="005B2522">
        <w:rPr>
          <w:noProof/>
          <w:szCs w:val="24"/>
        </w:rPr>
        <w:t>2007</w:t>
      </w:r>
      <w:r w:rsidR="00F71A6A" w:rsidRPr="005B2522">
        <w:t xml:space="preserve"> </w:t>
      </w:r>
      <w:r w:rsidR="00F22905" w:rsidRPr="005B2522">
        <w:rPr>
          <w:noProof/>
        </w:rPr>
        <w:t>the President of the Second Section</w:t>
      </w:r>
      <w:r w:rsidR="00F71A6A" w:rsidRPr="005B2522">
        <w:t xml:space="preserve"> decided to </w:t>
      </w:r>
      <w:r w:rsidR="00756D5B" w:rsidRPr="005B2522">
        <w:t>give notice of the application</w:t>
      </w:r>
      <w:r w:rsidR="00F71A6A" w:rsidRPr="005B2522">
        <w:t xml:space="preserve"> to the Gove</w:t>
      </w:r>
      <w:r w:rsidR="00485A6F" w:rsidRPr="005B2522">
        <w:t>rnment.</w:t>
      </w:r>
      <w:r w:rsidR="00F22905" w:rsidRPr="005B2522">
        <w:rPr>
          <w:noProof/>
        </w:rPr>
        <w:t xml:space="preserve"> It was also decided to rule on the admissibility and merits of the application at the same time (Article</w:t>
      </w:r>
      <w:r w:rsidR="00161877">
        <w:rPr>
          <w:noProof/>
        </w:rPr>
        <w:t> </w:t>
      </w:r>
      <w:r w:rsidR="00F22905" w:rsidRPr="005B2522">
        <w:rPr>
          <w:noProof/>
        </w:rPr>
        <w:t>29 §</w:t>
      </w:r>
      <w:r w:rsidR="00161877">
        <w:rPr>
          <w:noProof/>
        </w:rPr>
        <w:t> </w:t>
      </w:r>
      <w:r w:rsidR="00F22905" w:rsidRPr="005B2522">
        <w:rPr>
          <w:noProof/>
        </w:rPr>
        <w:t>1).</w:t>
      </w:r>
    </w:p>
    <w:p w:rsidR="00F71A6A" w:rsidRPr="005B2522" w:rsidRDefault="00F71A6A" w:rsidP="0039636F">
      <w:pPr>
        <w:pStyle w:val="JuHHead"/>
      </w:pPr>
      <w:r w:rsidRPr="005B2522">
        <w:t>THE FACTS</w:t>
      </w:r>
    </w:p>
    <w:p w:rsidR="00D353F4" w:rsidRPr="005B2522" w:rsidRDefault="007352DD" w:rsidP="0039636F">
      <w:pPr>
        <w:pStyle w:val="JuHIRoman"/>
        <w:outlineLvl w:val="0"/>
      </w:pPr>
      <w:r w:rsidRPr="005B2522">
        <w:t xml:space="preserve">I.  THE CIRCUMSTANCES OF THE </w:t>
      </w:r>
      <w:r w:rsidR="00D353F4" w:rsidRPr="005B2522">
        <w:t>CASE</w:t>
      </w:r>
    </w:p>
    <w:p w:rsidR="00F71A6A" w:rsidRDefault="00C40812" w:rsidP="0039636F">
      <w:pPr>
        <w:pStyle w:val="JuPara"/>
      </w:pPr>
      <w:r w:rsidRPr="005B2522">
        <w:fldChar w:fldCharType="begin"/>
      </w:r>
      <w:r w:rsidR="00F22905" w:rsidRPr="005B2522">
        <w:instrText xml:space="preserve"> SEQ level0 \*arabic </w:instrText>
      </w:r>
      <w:r w:rsidRPr="005B2522">
        <w:fldChar w:fldCharType="separate"/>
      </w:r>
      <w:r w:rsidR="006E0C02">
        <w:rPr>
          <w:noProof/>
        </w:rPr>
        <w:t>5</w:t>
      </w:r>
      <w:r w:rsidRPr="005B2522">
        <w:fldChar w:fldCharType="end"/>
      </w:r>
      <w:r w:rsidR="00F71A6A" w:rsidRPr="005B2522">
        <w:t xml:space="preserve">.  The </w:t>
      </w:r>
      <w:r w:rsidR="00F22905" w:rsidRPr="005B2522">
        <w:rPr>
          <w:noProof/>
        </w:rPr>
        <w:t xml:space="preserve">applicant was born in </w:t>
      </w:r>
      <w:r w:rsidR="00C22851">
        <w:rPr>
          <w:noProof/>
        </w:rPr>
        <w:t>1960</w:t>
      </w:r>
      <w:r w:rsidR="00F22905" w:rsidRPr="005B2522">
        <w:rPr>
          <w:noProof/>
        </w:rPr>
        <w:t xml:space="preserve"> and lives</w:t>
      </w:r>
      <w:r w:rsidR="00F71A6A" w:rsidRPr="005B2522">
        <w:t xml:space="preserve"> in </w:t>
      </w:r>
      <w:smartTag w:uri="urn:schemas-microsoft-com:office:smarttags" w:element="place">
        <w:smartTag w:uri="urn:schemas-microsoft-com:office:smarttags" w:element="City">
          <w:r w:rsidR="009520B5">
            <w:rPr>
              <w:noProof/>
            </w:rPr>
            <w:t>V</w:t>
          </w:r>
          <w:r w:rsidR="00F22905" w:rsidRPr="005B2522">
            <w:rPr>
              <w:noProof/>
            </w:rPr>
            <w:t>ilnius</w:t>
          </w:r>
        </w:smartTag>
      </w:smartTag>
      <w:r w:rsidR="00F71A6A" w:rsidRPr="005B2522">
        <w:t>.</w:t>
      </w:r>
    </w:p>
    <w:p w:rsidR="002A4B6B" w:rsidRDefault="00C40812" w:rsidP="0039636F">
      <w:pPr>
        <w:pStyle w:val="JuPara"/>
        <w:rPr>
          <w:szCs w:val="24"/>
        </w:rPr>
      </w:pPr>
      <w:r>
        <w:fldChar w:fldCharType="begin"/>
      </w:r>
      <w:r w:rsidR="00F95909">
        <w:instrText xml:space="preserve"> SEQ level0 \*arabic </w:instrText>
      </w:r>
      <w:r>
        <w:fldChar w:fldCharType="separate"/>
      </w:r>
      <w:r w:rsidR="006E0C02">
        <w:rPr>
          <w:noProof/>
        </w:rPr>
        <w:t>6</w:t>
      </w:r>
      <w:r>
        <w:fldChar w:fldCharType="end"/>
      </w:r>
      <w:r w:rsidR="00F95909">
        <w:t>.  </w:t>
      </w:r>
      <w:r w:rsidR="00ED01F1">
        <w:t>On 31 March</w:t>
      </w:r>
      <w:r w:rsidR="00161877">
        <w:t> </w:t>
      </w:r>
      <w:r w:rsidR="00ED01F1">
        <w:t xml:space="preserve">2001 </w:t>
      </w:r>
      <w:r w:rsidR="000C7C52">
        <w:t xml:space="preserve">the daily </w:t>
      </w:r>
      <w:r w:rsidR="004017A4">
        <w:t xml:space="preserve">newspaper </w:t>
      </w:r>
      <w:r w:rsidR="000C7C52" w:rsidRPr="000A36C2">
        <w:rPr>
          <w:i/>
        </w:rPr>
        <w:t>Respublika</w:t>
      </w:r>
      <w:r w:rsidR="000C7C52">
        <w:t xml:space="preserve"> printed an open letter </w:t>
      </w:r>
      <w:r w:rsidR="004017A4">
        <w:t xml:space="preserve">from </w:t>
      </w:r>
      <w:r w:rsidR="000C7C52">
        <w:t xml:space="preserve">the applicant to the </w:t>
      </w:r>
      <w:r w:rsidR="004F01EA">
        <w:t>Children</w:t>
      </w:r>
      <w:r w:rsidR="00CE66E6">
        <w:t>’</w:t>
      </w:r>
      <w:r w:rsidR="004F01EA">
        <w:t>s Rights Ombudsman</w:t>
      </w:r>
      <w:r w:rsidR="00C2703A">
        <w:t xml:space="preserve"> of Lithuania</w:t>
      </w:r>
      <w:r w:rsidR="00746303">
        <w:t xml:space="preserve">, </w:t>
      </w:r>
      <w:r w:rsidR="00746303">
        <w:lastRenderedPageBreak/>
        <w:t>G.I.,</w:t>
      </w:r>
      <w:r w:rsidR="00C2703A">
        <w:t xml:space="preserve"> complaining about the actions undertaken by the director</w:t>
      </w:r>
      <w:r w:rsidR="007D247B">
        <w:t>,</w:t>
      </w:r>
      <w:r w:rsidR="00C2703A">
        <w:t xml:space="preserve"> N.S.</w:t>
      </w:r>
      <w:r w:rsidR="007D247B">
        <w:t>,</w:t>
      </w:r>
      <w:r w:rsidR="00C2703A">
        <w:t xml:space="preserve"> of the Children</w:t>
      </w:r>
      <w:r w:rsidR="00CE66E6">
        <w:rPr>
          <w:szCs w:val="24"/>
        </w:rPr>
        <w:t>’</w:t>
      </w:r>
      <w:r w:rsidR="00C2703A" w:rsidRPr="00B37211">
        <w:rPr>
          <w:szCs w:val="24"/>
        </w:rPr>
        <w:t>s Welfare Service</w:t>
      </w:r>
      <w:r w:rsidR="00C2703A">
        <w:rPr>
          <w:szCs w:val="24"/>
        </w:rPr>
        <w:t xml:space="preserve"> of </w:t>
      </w:r>
      <w:r w:rsidR="008E7D5D">
        <w:rPr>
          <w:szCs w:val="24"/>
        </w:rPr>
        <w:t xml:space="preserve">the </w:t>
      </w:r>
      <w:smartTag w:uri="urn:schemas-microsoft-com:office:smarttags" w:element="place">
        <w:smartTag w:uri="urn:schemas-microsoft-com:office:smarttags" w:element="PlaceName">
          <w:r w:rsidR="00C2703A">
            <w:rPr>
              <w:szCs w:val="24"/>
            </w:rPr>
            <w:t>Vilnius</w:t>
          </w:r>
        </w:smartTag>
        <w:r w:rsidR="00C2703A">
          <w:rPr>
            <w:szCs w:val="24"/>
          </w:rPr>
          <w:t xml:space="preserve"> </w:t>
        </w:r>
        <w:smartTag w:uri="urn:schemas-microsoft-com:office:smarttags" w:element="PlaceType">
          <w:r w:rsidR="00C2703A">
            <w:rPr>
              <w:szCs w:val="24"/>
            </w:rPr>
            <w:t>City</w:t>
          </w:r>
        </w:smartTag>
      </w:smartTag>
      <w:r w:rsidR="00C2703A">
        <w:rPr>
          <w:szCs w:val="24"/>
        </w:rPr>
        <w:t xml:space="preserve"> (</w:t>
      </w:r>
      <w:r w:rsidR="00C2703A" w:rsidRPr="00C2703A">
        <w:rPr>
          <w:i/>
          <w:szCs w:val="24"/>
        </w:rPr>
        <w:t>Vilniaus miesto</w:t>
      </w:r>
      <w:r w:rsidR="00C2703A">
        <w:rPr>
          <w:szCs w:val="24"/>
        </w:rPr>
        <w:t xml:space="preserve"> </w:t>
      </w:r>
      <w:r w:rsidR="00C2703A" w:rsidRPr="00ED5921">
        <w:rPr>
          <w:i/>
        </w:rPr>
        <w:t>Vaik</w:t>
      </w:r>
      <w:r w:rsidR="00C2703A">
        <w:rPr>
          <w:i/>
        </w:rPr>
        <w:t>o</w:t>
      </w:r>
      <w:r w:rsidR="00C2703A" w:rsidRPr="00ED5921">
        <w:rPr>
          <w:i/>
        </w:rPr>
        <w:t xml:space="preserve"> teisių apsaugos tarnyba</w:t>
      </w:r>
      <w:r w:rsidR="00C2703A">
        <w:t xml:space="preserve">, </w:t>
      </w:r>
      <w:r w:rsidR="00C2703A">
        <w:rPr>
          <w:szCs w:val="24"/>
        </w:rPr>
        <w:t>hereinafter “the CWS”)</w:t>
      </w:r>
      <w:r w:rsidR="00F83C01">
        <w:rPr>
          <w:szCs w:val="24"/>
        </w:rPr>
        <w:t>.</w:t>
      </w:r>
      <w:r w:rsidR="000C7C52">
        <w:rPr>
          <w:szCs w:val="24"/>
        </w:rPr>
        <w:t xml:space="preserve"> It appears from the copy of the</w:t>
      </w:r>
      <w:r w:rsidR="00EB3772">
        <w:rPr>
          <w:szCs w:val="24"/>
        </w:rPr>
        <w:t xml:space="preserve"> newspaper</w:t>
      </w:r>
      <w:r w:rsidR="000C7C52">
        <w:rPr>
          <w:szCs w:val="24"/>
        </w:rPr>
        <w:t xml:space="preserve"> that the applicant had paid </w:t>
      </w:r>
      <w:r w:rsidR="00EB3772">
        <w:rPr>
          <w:szCs w:val="24"/>
        </w:rPr>
        <w:t>for</w:t>
      </w:r>
      <w:r w:rsidR="000C7C52">
        <w:rPr>
          <w:szCs w:val="24"/>
        </w:rPr>
        <w:t xml:space="preserve"> the letter </w:t>
      </w:r>
      <w:r w:rsidR="00EB3772">
        <w:rPr>
          <w:szCs w:val="24"/>
        </w:rPr>
        <w:t xml:space="preserve">to </w:t>
      </w:r>
      <w:r w:rsidR="000C7C52">
        <w:rPr>
          <w:szCs w:val="24"/>
        </w:rPr>
        <w:t xml:space="preserve">be </w:t>
      </w:r>
      <w:r w:rsidR="0041781A">
        <w:rPr>
          <w:szCs w:val="24"/>
        </w:rPr>
        <w:t>published</w:t>
      </w:r>
      <w:r w:rsidR="000C7C52">
        <w:rPr>
          <w:szCs w:val="24"/>
        </w:rPr>
        <w:t>.</w:t>
      </w:r>
      <w:r w:rsidR="002A4B6B">
        <w:rPr>
          <w:szCs w:val="24"/>
        </w:rPr>
        <w:t xml:space="preserve"> The letter was printed on one full page of the </w:t>
      </w:r>
      <w:r w:rsidR="00EB3772">
        <w:rPr>
          <w:szCs w:val="24"/>
        </w:rPr>
        <w:t xml:space="preserve">paper </w:t>
      </w:r>
      <w:r w:rsidR="0041781A">
        <w:rPr>
          <w:szCs w:val="24"/>
        </w:rPr>
        <w:t xml:space="preserve">and </w:t>
      </w:r>
      <w:r w:rsidR="002A4B6B">
        <w:rPr>
          <w:szCs w:val="24"/>
        </w:rPr>
        <w:t>comprised twenty</w:t>
      </w:r>
      <w:r w:rsidR="00185D01">
        <w:rPr>
          <w:szCs w:val="24"/>
        </w:rPr>
        <w:t>-</w:t>
      </w:r>
      <w:r w:rsidR="002A4B6B">
        <w:rPr>
          <w:szCs w:val="24"/>
        </w:rPr>
        <w:t>four paragraphs.</w:t>
      </w:r>
    </w:p>
    <w:p w:rsidR="00A614DA" w:rsidRDefault="00C40812" w:rsidP="0039636F">
      <w:pPr>
        <w:pStyle w:val="JuPara"/>
      </w:pPr>
      <w:r>
        <w:fldChar w:fldCharType="begin"/>
      </w:r>
      <w:r w:rsidR="002A4B6B">
        <w:instrText xml:space="preserve"> SEQ level0 \*arabic </w:instrText>
      </w:r>
      <w:r>
        <w:fldChar w:fldCharType="separate"/>
      </w:r>
      <w:r w:rsidR="006E0C02">
        <w:rPr>
          <w:noProof/>
        </w:rPr>
        <w:t>7</w:t>
      </w:r>
      <w:r>
        <w:fldChar w:fldCharType="end"/>
      </w:r>
      <w:r w:rsidR="002A4B6B">
        <w:t xml:space="preserve">.  In the letter the applicant complained about </w:t>
      </w:r>
      <w:r w:rsidR="004F01EA">
        <w:t xml:space="preserve">the </w:t>
      </w:r>
      <w:r w:rsidR="004F01EA">
        <w:rPr>
          <w:szCs w:val="24"/>
        </w:rPr>
        <w:t>CWS</w:t>
      </w:r>
      <w:r w:rsidR="00CE66E6">
        <w:rPr>
          <w:szCs w:val="24"/>
        </w:rPr>
        <w:t>’</w:t>
      </w:r>
      <w:r w:rsidR="00C2703A">
        <w:rPr>
          <w:szCs w:val="24"/>
        </w:rPr>
        <w:t>s</w:t>
      </w:r>
      <w:r w:rsidR="002A4B6B">
        <w:t xml:space="preserve"> actions </w:t>
      </w:r>
      <w:r w:rsidR="00BB3F4A">
        <w:t xml:space="preserve">during </w:t>
      </w:r>
      <w:r w:rsidR="002A4B6B">
        <w:t>her son</w:t>
      </w:r>
      <w:r w:rsidR="00CE66E6">
        <w:t>’</w:t>
      </w:r>
      <w:r w:rsidR="002A4B6B">
        <w:t xml:space="preserve">s custody proceedings. </w:t>
      </w:r>
      <w:r w:rsidR="00FA2D2F">
        <w:t xml:space="preserve">The applicant </w:t>
      </w:r>
      <w:r w:rsidR="00F32BF1">
        <w:t xml:space="preserve">disclosed </w:t>
      </w:r>
      <w:r w:rsidR="00FA2D2F">
        <w:t xml:space="preserve">her </w:t>
      </w:r>
      <w:r w:rsidR="0041781A">
        <w:t xml:space="preserve">and her </w:t>
      </w:r>
      <w:r w:rsidR="00FA2D2F">
        <w:t>son</w:t>
      </w:r>
      <w:r w:rsidR="00CE66E6">
        <w:t>’</w:t>
      </w:r>
      <w:r w:rsidR="00FA2D2F">
        <w:t xml:space="preserve">s </w:t>
      </w:r>
      <w:r w:rsidR="005A0083">
        <w:t>fore</w:t>
      </w:r>
      <w:r w:rsidR="00FA2D2F">
        <w:t>name</w:t>
      </w:r>
      <w:r w:rsidR="005933AE">
        <w:t>s</w:t>
      </w:r>
      <w:r w:rsidR="00FA2D2F">
        <w:t xml:space="preserve"> and surname, his date of birth, </w:t>
      </w:r>
      <w:r w:rsidR="00EB3772">
        <w:t xml:space="preserve">and </w:t>
      </w:r>
      <w:r w:rsidR="00FA2D2F">
        <w:t>her former husband</w:t>
      </w:r>
      <w:r w:rsidR="00CE66E6">
        <w:t>’</w:t>
      </w:r>
      <w:r w:rsidR="00FA2D2F">
        <w:t xml:space="preserve">s full name. She also described </w:t>
      </w:r>
      <w:r w:rsidR="00EB3772">
        <w:t xml:space="preserve">the </w:t>
      </w:r>
      <w:r w:rsidR="00FA2D2F">
        <w:t xml:space="preserve">entire chronology of </w:t>
      </w:r>
      <w:r w:rsidR="00EB3772">
        <w:t xml:space="preserve">the </w:t>
      </w:r>
      <w:r w:rsidR="00FA2D2F">
        <w:t xml:space="preserve">civil litigation between her and her former husband </w:t>
      </w:r>
      <w:r w:rsidR="00BB3F4A">
        <w:t>concerning</w:t>
      </w:r>
      <w:r w:rsidR="00FA2D2F">
        <w:t xml:space="preserve"> her son</w:t>
      </w:r>
      <w:r w:rsidR="00CE66E6">
        <w:t>’</w:t>
      </w:r>
      <w:r w:rsidR="00FA2D2F">
        <w:t xml:space="preserve">s place of residence. The applicant described </w:t>
      </w:r>
      <w:r w:rsidR="00EB3772">
        <w:t xml:space="preserve">in detail </w:t>
      </w:r>
      <w:r w:rsidR="00A614DA">
        <w:t xml:space="preserve">what had been </w:t>
      </w:r>
      <w:r w:rsidR="00EB3772">
        <w:t xml:space="preserve">said </w:t>
      </w:r>
      <w:r w:rsidR="00A614DA">
        <w:t xml:space="preserve">during </w:t>
      </w:r>
      <w:r w:rsidR="00EB3772">
        <w:t>the relevant</w:t>
      </w:r>
      <w:r w:rsidR="00A614DA">
        <w:t xml:space="preserve"> court hearing. </w:t>
      </w:r>
      <w:r w:rsidR="00707A01">
        <w:t>The article read:</w:t>
      </w:r>
    </w:p>
    <w:p w:rsidR="00F95909" w:rsidRPr="00F61CF5" w:rsidRDefault="00A614DA" w:rsidP="0039636F">
      <w:pPr>
        <w:pStyle w:val="JuQuot"/>
      </w:pPr>
      <w:r w:rsidRPr="00F61CF5">
        <w:t>“</w:t>
      </w:r>
      <w:r w:rsidR="00F92228" w:rsidRPr="00F61CF5">
        <w:t>Having succumbed to psychological pressure from his father</w:t>
      </w:r>
      <w:r w:rsidR="00707A01" w:rsidRPr="00F61CF5">
        <w:t xml:space="preserve"> </w:t>
      </w:r>
      <w:r w:rsidR="00161877">
        <w:t>...</w:t>
      </w:r>
      <w:r w:rsidR="00F92228" w:rsidRPr="00F61CF5">
        <w:t xml:space="preserve"> </w:t>
      </w:r>
      <w:r w:rsidR="00185D01" w:rsidRPr="00F61CF5">
        <w:t>from March</w:t>
      </w:r>
      <w:r w:rsidR="000568B5">
        <w:t> </w:t>
      </w:r>
      <w:r w:rsidR="00185D01" w:rsidRPr="00F61CF5">
        <w:t xml:space="preserve">2000 </w:t>
      </w:r>
      <w:r w:rsidR="00F92228" w:rsidRPr="00F61CF5">
        <w:t xml:space="preserve">the child </w:t>
      </w:r>
      <w:r w:rsidR="00BB3F4A" w:rsidRPr="00F61CF5">
        <w:t>was</w:t>
      </w:r>
      <w:r w:rsidR="00F92228" w:rsidRPr="00F61CF5">
        <w:t xml:space="preserve"> treated in Vilnius Child Development Centre Psychiatric Unit. </w:t>
      </w:r>
      <w:r w:rsidR="00F06434" w:rsidRPr="00F61CF5">
        <w:t xml:space="preserve">According </w:t>
      </w:r>
      <w:r w:rsidR="00F92228" w:rsidRPr="00F61CF5">
        <w:t>to the conclusion of the psychiatrist</w:t>
      </w:r>
      <w:r w:rsidR="00707A01" w:rsidRPr="00F61CF5">
        <w:t>s</w:t>
      </w:r>
      <w:r w:rsidR="00F92228" w:rsidRPr="00F61CF5">
        <w:t>, which on 17 May</w:t>
      </w:r>
      <w:r w:rsidR="000568B5">
        <w:t> </w:t>
      </w:r>
      <w:r w:rsidR="00F92228" w:rsidRPr="00F61CF5">
        <w:t xml:space="preserve">2000 </w:t>
      </w:r>
      <w:r w:rsidR="00BB3F4A" w:rsidRPr="00F61CF5">
        <w:t>was</w:t>
      </w:r>
      <w:r w:rsidR="00F92228" w:rsidRPr="00F61CF5">
        <w:t xml:space="preserve"> provided to the CWS, </w:t>
      </w:r>
      <w:r w:rsidR="00CE66E6">
        <w:t>‘</w:t>
      </w:r>
      <w:r w:rsidR="00F92228" w:rsidRPr="00F61CF5">
        <w:t>the boy is affected negatively by his father</w:t>
      </w:r>
      <w:r w:rsidR="00CE66E6">
        <w:t>’</w:t>
      </w:r>
      <w:r w:rsidR="00F92228" w:rsidRPr="00F61CF5">
        <w:t>s negative attitude towards his mother</w:t>
      </w:r>
      <w:r w:rsidR="00CE66E6">
        <w:t>’</w:t>
      </w:r>
      <w:r w:rsidR="00F92228" w:rsidRPr="00F61CF5">
        <w:t xml:space="preserve">. The doctors explained that they had treated my son four times longer than usual so that the child would not be traumatised by his father </w:t>
      </w:r>
      <w:r w:rsidR="005933AE" w:rsidRPr="00F61CF5">
        <w:t xml:space="preserve">any </w:t>
      </w:r>
      <w:r w:rsidR="00F92228" w:rsidRPr="00F61CF5">
        <w:t>long</w:t>
      </w:r>
      <w:r w:rsidR="00F06434" w:rsidRPr="00F61CF5">
        <w:t>er</w:t>
      </w:r>
      <w:r w:rsidR="00F92228" w:rsidRPr="00F61CF5">
        <w:t xml:space="preserve">. </w:t>
      </w:r>
      <w:r w:rsidR="00564E81" w:rsidRPr="00F61CF5">
        <w:t>I could see my son and communicate with him</w:t>
      </w:r>
      <w:r w:rsidR="00BB3F4A" w:rsidRPr="00F61CF5">
        <w:t xml:space="preserve"> only at the hospital</w:t>
      </w:r>
      <w:r w:rsidR="00564E81" w:rsidRPr="00F61CF5">
        <w:t>, whe</w:t>
      </w:r>
      <w:r w:rsidR="00F06434" w:rsidRPr="00F61CF5">
        <w:t>re</w:t>
      </w:r>
      <w:r w:rsidR="00564E81" w:rsidRPr="00F61CF5">
        <w:t>, with the doctors</w:t>
      </w:r>
      <w:r w:rsidR="00CE66E6">
        <w:t>’</w:t>
      </w:r>
      <w:r w:rsidR="00564E81" w:rsidRPr="00F61CF5">
        <w:t xml:space="preserve"> help, he had been at least to a certain extent protected from </w:t>
      </w:r>
      <w:r w:rsidR="00BB3F4A" w:rsidRPr="00F61CF5">
        <w:t xml:space="preserve">the </w:t>
      </w:r>
      <w:r w:rsidR="00564E81" w:rsidRPr="00F61CF5">
        <w:t>damaging influence of his father</w:t>
      </w:r>
      <w:r w:rsidR="005933AE" w:rsidRPr="00F61CF5">
        <w:t>.</w:t>
      </w:r>
      <w:r w:rsidR="00564E81" w:rsidRPr="00F61CF5">
        <w:t>”</w:t>
      </w:r>
    </w:p>
    <w:p w:rsidR="009B4A07" w:rsidRDefault="00C40812" w:rsidP="0039636F">
      <w:pPr>
        <w:pStyle w:val="JuPara"/>
      </w:pPr>
      <w:r>
        <w:fldChar w:fldCharType="begin"/>
      </w:r>
      <w:r w:rsidR="009B4A07">
        <w:instrText xml:space="preserve"> SEQ level0 \*arabic </w:instrText>
      </w:r>
      <w:r>
        <w:fldChar w:fldCharType="separate"/>
      </w:r>
      <w:r w:rsidR="006E0C02">
        <w:rPr>
          <w:noProof/>
        </w:rPr>
        <w:t>8</w:t>
      </w:r>
      <w:r>
        <w:fldChar w:fldCharType="end"/>
      </w:r>
      <w:r w:rsidR="009B4A07">
        <w:t>.  </w:t>
      </w:r>
      <w:r w:rsidR="00827B34">
        <w:t>The applicant also quoted</w:t>
      </w:r>
      <w:r w:rsidR="005C25F1">
        <w:t xml:space="preserve"> </w:t>
      </w:r>
      <w:r w:rsidR="00827B34">
        <w:t xml:space="preserve">the report of a doctor from </w:t>
      </w:r>
      <w:r w:rsidR="00EB3772">
        <w:t xml:space="preserve">the </w:t>
      </w:r>
      <w:r w:rsidR="00827B34">
        <w:t>children</w:t>
      </w:r>
      <w:r w:rsidR="00CE66E6">
        <w:t>’</w:t>
      </w:r>
      <w:r w:rsidR="00EB3772">
        <w:t>s</w:t>
      </w:r>
      <w:r w:rsidR="00827B34">
        <w:t xml:space="preserve"> rehabilitation institution “</w:t>
      </w:r>
      <w:r w:rsidR="00827B34" w:rsidRPr="00EB3772">
        <w:rPr>
          <w:i/>
        </w:rPr>
        <w:t>Palangos gintaras</w:t>
      </w:r>
      <w:r w:rsidR="00827B34">
        <w:t>”</w:t>
      </w:r>
      <w:r w:rsidR="00331EA1">
        <w:t xml:space="preserve">. The report, as </w:t>
      </w:r>
      <w:r w:rsidR="005C25F1">
        <w:t>cited</w:t>
      </w:r>
      <w:r w:rsidR="00331EA1">
        <w:t xml:space="preserve"> by the applicant, read:</w:t>
      </w:r>
    </w:p>
    <w:p w:rsidR="00827B34" w:rsidRPr="00F61CF5" w:rsidRDefault="00331EA1" w:rsidP="0039636F">
      <w:pPr>
        <w:pStyle w:val="JuQuot"/>
      </w:pPr>
      <w:r w:rsidRPr="00F61CF5">
        <w:t>“[The father of the applicant</w:t>
      </w:r>
      <w:r w:rsidR="00CE66E6">
        <w:t>’</w:t>
      </w:r>
      <w:r w:rsidRPr="00F61CF5">
        <w:t>s son] did not pay for meals, but sometimes would come to the [sanatorium</w:t>
      </w:r>
      <w:r w:rsidR="00CE66E6">
        <w:t>’</w:t>
      </w:r>
      <w:r w:rsidRPr="00F61CF5">
        <w:t>s] canteen to eat and would eat his son</w:t>
      </w:r>
      <w:r w:rsidR="00CE66E6">
        <w:t>’</w:t>
      </w:r>
      <w:r w:rsidRPr="00F61CF5">
        <w:t>s portion</w:t>
      </w:r>
      <w:r w:rsidR="00BB3F4A" w:rsidRPr="00F61CF5">
        <w:t xml:space="preserve"> </w:t>
      </w:r>
      <w:r w:rsidR="00161877">
        <w:t>...</w:t>
      </w:r>
      <w:r w:rsidRPr="00F61CF5">
        <w:t xml:space="preserve"> Sometimes the father did not allow the doctors to </w:t>
      </w:r>
      <w:r w:rsidR="00BB3F4A" w:rsidRPr="00F61CF5">
        <w:t>examine</w:t>
      </w:r>
      <w:r w:rsidRPr="00F61CF5">
        <w:t xml:space="preserve"> his son, arguing that his son should rest. The father </w:t>
      </w:r>
      <w:r w:rsidR="005C25F1" w:rsidRPr="00F61CF5">
        <w:t xml:space="preserve">behaved despotically </w:t>
      </w:r>
      <w:r w:rsidR="00F06434" w:rsidRPr="00F61CF5">
        <w:t xml:space="preserve">towards </w:t>
      </w:r>
      <w:r w:rsidR="005C25F1" w:rsidRPr="00F61CF5">
        <w:t xml:space="preserve">the child, sometimes he would not permit his son to </w:t>
      </w:r>
      <w:r w:rsidR="00362088" w:rsidRPr="00F61CF5">
        <w:t>attend</w:t>
      </w:r>
      <w:r w:rsidR="005C25F1" w:rsidRPr="00F61CF5">
        <w:t xml:space="preserve"> treatment procedures. </w:t>
      </w:r>
      <w:r w:rsidR="00BB3F4A" w:rsidRPr="00F61CF5">
        <w:t>I</w:t>
      </w:r>
      <w:r w:rsidR="005C25F1" w:rsidRPr="00F61CF5">
        <w:t>n bad weather, the father would take his son to the forest to gather berries, arguing that the father</w:t>
      </w:r>
      <w:r w:rsidR="00CE66E6">
        <w:t>’</w:t>
      </w:r>
      <w:r w:rsidR="005C25F1" w:rsidRPr="00F61CF5">
        <w:t xml:space="preserve">s opinion mattered more than that of the doctor. On 17 July the father and son </w:t>
      </w:r>
      <w:r w:rsidR="0061255D" w:rsidRPr="00F61CF5">
        <w:t xml:space="preserve">got into a fight. Afterwards the father did not allow the doctors to </w:t>
      </w:r>
      <w:r w:rsidR="00BB3F4A" w:rsidRPr="00F61CF5">
        <w:t>examine</w:t>
      </w:r>
      <w:r w:rsidR="0061255D" w:rsidRPr="00F61CF5">
        <w:t xml:space="preserve"> his son</w:t>
      </w:r>
      <w:r w:rsidR="00161877">
        <w:t>...</w:t>
      </w:r>
      <w:r w:rsidR="0061255D" w:rsidRPr="00F61CF5">
        <w:t xml:space="preserve"> The treatment prescribed did not have the expected effect. We [the doctors]</w:t>
      </w:r>
      <w:r w:rsidR="005C25F1" w:rsidRPr="00F61CF5">
        <w:t xml:space="preserve"> </w:t>
      </w:r>
      <w:r w:rsidR="0061255D" w:rsidRPr="00F61CF5">
        <w:t xml:space="preserve">think that </w:t>
      </w:r>
      <w:r w:rsidR="0079093C" w:rsidRPr="00F61CF5">
        <w:t xml:space="preserve">the reason for </w:t>
      </w:r>
      <w:r w:rsidR="00BB3F4A" w:rsidRPr="00F61CF5">
        <w:t>that</w:t>
      </w:r>
      <w:r w:rsidR="0079093C" w:rsidRPr="00F61CF5">
        <w:t xml:space="preserve"> is </w:t>
      </w:r>
      <w:r w:rsidR="00BB3F4A" w:rsidRPr="00F61CF5">
        <w:t xml:space="preserve">possessiveness on the part </w:t>
      </w:r>
      <w:r w:rsidR="0079093C" w:rsidRPr="00F61CF5">
        <w:t>of the father. The son needs psychiatric care</w:t>
      </w:r>
      <w:r w:rsidR="005933AE" w:rsidRPr="00F61CF5">
        <w:t>.</w:t>
      </w:r>
      <w:r w:rsidRPr="00F61CF5">
        <w:t>”</w:t>
      </w:r>
    </w:p>
    <w:p w:rsidR="00064D89" w:rsidRDefault="00C40812" w:rsidP="0039636F">
      <w:pPr>
        <w:pStyle w:val="JuPara"/>
      </w:pPr>
      <w:r>
        <w:fldChar w:fldCharType="begin"/>
      </w:r>
      <w:r w:rsidR="0079093C">
        <w:instrText xml:space="preserve"> SEQ level0 \*arabic </w:instrText>
      </w:r>
      <w:r>
        <w:fldChar w:fldCharType="separate"/>
      </w:r>
      <w:r w:rsidR="006E0C02">
        <w:rPr>
          <w:noProof/>
        </w:rPr>
        <w:t>9</w:t>
      </w:r>
      <w:r>
        <w:fldChar w:fldCharType="end"/>
      </w:r>
      <w:r w:rsidR="0079093C">
        <w:t>.  </w:t>
      </w:r>
      <w:r w:rsidR="00AB09E8">
        <w:t>On 3 April</w:t>
      </w:r>
      <w:r w:rsidR="000568B5">
        <w:t> </w:t>
      </w:r>
      <w:r w:rsidR="00AB09E8">
        <w:t>2001 the daily</w:t>
      </w:r>
      <w:r w:rsidR="00EB3772">
        <w:t xml:space="preserve"> newspaper</w:t>
      </w:r>
      <w:r w:rsidR="00AB09E8">
        <w:t xml:space="preserve"> </w:t>
      </w:r>
      <w:r w:rsidR="00AB09E8" w:rsidRPr="00EB3772">
        <w:rPr>
          <w:i/>
        </w:rPr>
        <w:t>Lietuvos Aidas</w:t>
      </w:r>
      <w:r w:rsidR="00AB09E8">
        <w:t xml:space="preserve"> published an article titled “</w:t>
      </w:r>
      <w:r w:rsidR="00EB3772">
        <w:t>Separation from her son causes great distress to</w:t>
      </w:r>
      <w:r w:rsidR="00AB09E8">
        <w:t xml:space="preserve"> mother</w:t>
      </w:r>
      <w:r w:rsidR="005933AE">
        <w:t>”</w:t>
      </w:r>
      <w:r w:rsidR="00AB09E8">
        <w:t xml:space="preserve"> (</w:t>
      </w:r>
      <w:r w:rsidR="00B0143F" w:rsidRPr="00B0143F">
        <w:rPr>
          <w:i/>
        </w:rPr>
        <w:t>Atimtas s</w:t>
      </w:r>
      <w:r w:rsidR="00A844BA">
        <w:rPr>
          <w:i/>
        </w:rPr>
        <w:t>ū</w:t>
      </w:r>
      <w:r w:rsidR="00B0143F" w:rsidRPr="00B0143F">
        <w:rPr>
          <w:i/>
        </w:rPr>
        <w:t>nus – did</w:t>
      </w:r>
      <w:r w:rsidR="00A844BA">
        <w:rPr>
          <w:i/>
        </w:rPr>
        <w:t>ž</w:t>
      </w:r>
      <w:r w:rsidR="00B0143F" w:rsidRPr="00B0143F">
        <w:rPr>
          <w:i/>
        </w:rPr>
        <w:t>iausias skausmas motinai</w:t>
      </w:r>
      <w:r w:rsidR="00AB09E8">
        <w:t>)</w:t>
      </w:r>
      <w:r w:rsidR="005933AE">
        <w:t>,</w:t>
      </w:r>
      <w:r w:rsidR="00F06434">
        <w:t xml:space="preserve"> in which t</w:t>
      </w:r>
      <w:r w:rsidR="00C629FF">
        <w:t xml:space="preserve">he applicant answered questions </w:t>
      </w:r>
      <w:r w:rsidR="00F06434">
        <w:t xml:space="preserve">from </w:t>
      </w:r>
      <w:r w:rsidR="00C629FF">
        <w:t xml:space="preserve">a journalist. In a full page article she told the story of her estrangement from her former husband and described the child custody issues </w:t>
      </w:r>
      <w:r w:rsidR="00EB3772">
        <w:t xml:space="preserve">concerning </w:t>
      </w:r>
      <w:r w:rsidR="00C629FF">
        <w:t xml:space="preserve">their son. The applicant </w:t>
      </w:r>
      <w:r w:rsidR="00A844BA">
        <w:t>divulged</w:t>
      </w:r>
      <w:r w:rsidR="00C629FF">
        <w:t xml:space="preserve"> </w:t>
      </w:r>
      <w:r w:rsidR="00EB3772">
        <w:t xml:space="preserve">the </w:t>
      </w:r>
      <w:r w:rsidR="00C629FF">
        <w:t xml:space="preserve">names of her son, her former husband </w:t>
      </w:r>
      <w:r w:rsidR="00EB3772">
        <w:t xml:space="preserve">and </w:t>
      </w:r>
      <w:r w:rsidR="00C629FF">
        <w:t>the CWS employe</w:t>
      </w:r>
      <w:r w:rsidR="00064D89">
        <w:t>e</w:t>
      </w:r>
      <w:r w:rsidR="00C629FF">
        <w:t xml:space="preserve">s who had been </w:t>
      </w:r>
      <w:r w:rsidR="00EB3772">
        <w:t xml:space="preserve">involved </w:t>
      </w:r>
      <w:r w:rsidR="00C629FF">
        <w:t xml:space="preserve">in the proceedings. </w:t>
      </w:r>
      <w:r w:rsidR="00345207">
        <w:t>When answering the journalist</w:t>
      </w:r>
      <w:r w:rsidR="00CE66E6">
        <w:t>’</w:t>
      </w:r>
      <w:r w:rsidR="00345207">
        <w:t xml:space="preserve">s question why her son </w:t>
      </w:r>
      <w:r w:rsidR="00EB3772">
        <w:t xml:space="preserve">had </w:t>
      </w:r>
      <w:r w:rsidR="00345207">
        <w:t>chose</w:t>
      </w:r>
      <w:r w:rsidR="00EB3772">
        <w:t>n</w:t>
      </w:r>
      <w:r w:rsidR="00345207">
        <w:t xml:space="preserve"> to live </w:t>
      </w:r>
      <w:r w:rsidR="003B7AE7">
        <w:t xml:space="preserve">with </w:t>
      </w:r>
      <w:r w:rsidR="00345207">
        <w:t>his father, t</w:t>
      </w:r>
      <w:r w:rsidR="00C629FF">
        <w:t xml:space="preserve">he applicant </w:t>
      </w:r>
      <w:r w:rsidR="00345207">
        <w:t xml:space="preserve">stated that she had been </w:t>
      </w:r>
      <w:r w:rsidR="00EB3772">
        <w:t>made to leave her</w:t>
      </w:r>
      <w:r w:rsidR="00345207">
        <w:t xml:space="preserve"> home and </w:t>
      </w:r>
      <w:r w:rsidR="00BB3F4A">
        <w:t xml:space="preserve">had </w:t>
      </w:r>
      <w:r w:rsidR="00345207">
        <w:t xml:space="preserve">had to </w:t>
      </w:r>
      <w:r w:rsidR="00CB1DC4">
        <w:t xml:space="preserve">rent a room </w:t>
      </w:r>
      <w:r w:rsidR="00EB3772">
        <w:t>somewhere else</w:t>
      </w:r>
      <w:r w:rsidR="00CB1DC4">
        <w:t xml:space="preserve">. The applicant </w:t>
      </w:r>
      <w:r w:rsidR="00C629FF">
        <w:t xml:space="preserve">also </w:t>
      </w:r>
      <w:r w:rsidR="00064D89">
        <w:t xml:space="preserve">quoted </w:t>
      </w:r>
      <w:r w:rsidR="00EB3772">
        <w:t>a</w:t>
      </w:r>
      <w:r w:rsidR="00876F28">
        <w:t xml:space="preserve">n extract from a </w:t>
      </w:r>
      <w:r w:rsidR="00030B84">
        <w:t>report by a</w:t>
      </w:r>
      <w:r w:rsidR="00EB3772">
        <w:t xml:space="preserve"> </w:t>
      </w:r>
      <w:r w:rsidR="00064D89">
        <w:t>municipal</w:t>
      </w:r>
      <w:r w:rsidR="003B7AE7">
        <w:t xml:space="preserve"> </w:t>
      </w:r>
      <w:r w:rsidR="00030B84">
        <w:t xml:space="preserve">social-care </w:t>
      </w:r>
      <w:r w:rsidR="003B7AE7">
        <w:t>inspector</w:t>
      </w:r>
      <w:r w:rsidR="00064D89">
        <w:t>:</w:t>
      </w:r>
    </w:p>
    <w:p w:rsidR="0079093C" w:rsidRDefault="00064D89" w:rsidP="0039636F">
      <w:pPr>
        <w:pStyle w:val="JuQuot"/>
      </w:pPr>
      <w:r>
        <w:t>“</w:t>
      </w:r>
      <w:r w:rsidR="00345207">
        <w:t>When</w:t>
      </w:r>
      <w:r>
        <w:t xml:space="preserve"> I </w:t>
      </w:r>
      <w:r w:rsidR="003B7AE7">
        <w:t xml:space="preserve">[the municipal inspector] </w:t>
      </w:r>
      <w:r>
        <w:t>visited the applicant</w:t>
      </w:r>
      <w:r w:rsidR="00CE66E6">
        <w:t>’</w:t>
      </w:r>
      <w:r>
        <w:t xml:space="preserve">s former </w:t>
      </w:r>
      <w:r w:rsidRPr="00345207">
        <w:t>husband</w:t>
      </w:r>
      <w:r w:rsidR="00CE66E6">
        <w:t>’</w:t>
      </w:r>
      <w:r w:rsidRPr="00345207">
        <w:t xml:space="preserve">s home </w:t>
      </w:r>
      <w:r w:rsidR="00345207">
        <w:t xml:space="preserve">and saw how the boy interacts with his father, </w:t>
      </w:r>
      <w:r w:rsidR="00BB3F4A">
        <w:t xml:space="preserve">huge </w:t>
      </w:r>
      <w:r w:rsidR="00345207">
        <w:t xml:space="preserve">psychological tension and hatred towards the mother were </w:t>
      </w:r>
      <w:r w:rsidR="00F06434">
        <w:t>apparent</w:t>
      </w:r>
      <w:r w:rsidR="00345207">
        <w:t>, even though, according to the child, earlier he</w:t>
      </w:r>
      <w:r w:rsidR="00F06434">
        <w:t xml:space="preserve"> had</w:t>
      </w:r>
      <w:r w:rsidR="00345207">
        <w:t xml:space="preserve"> loved his mother very much, </w:t>
      </w:r>
      <w:r w:rsidR="00CB1DC4">
        <w:t>because</w:t>
      </w:r>
      <w:r w:rsidR="00345207">
        <w:t xml:space="preserve"> she was good and took care of all their family. </w:t>
      </w:r>
      <w:r w:rsidR="00CB1DC4">
        <w:t xml:space="preserve">It was </w:t>
      </w:r>
      <w:r w:rsidR="00B64422">
        <w:t xml:space="preserve">clear </w:t>
      </w:r>
      <w:r w:rsidR="00CB1DC4">
        <w:t xml:space="preserve">that the child, who is eleven years old, very much needs his mother, but his father </w:t>
      </w:r>
      <w:r w:rsidR="00F06434">
        <w:t xml:space="preserve">encourages a </w:t>
      </w:r>
      <w:r w:rsidR="00362088">
        <w:t>negative attitude towards her</w:t>
      </w:r>
      <w:r w:rsidR="00F06434">
        <w:t xml:space="preserve"> </w:t>
      </w:r>
      <w:r w:rsidR="00161877">
        <w:t>...</w:t>
      </w:r>
      <w:r w:rsidR="00F06434">
        <w:t>.</w:t>
      </w:r>
      <w:r w:rsidR="00362088">
        <w:t>”</w:t>
      </w:r>
    </w:p>
    <w:p w:rsidR="00362088" w:rsidRDefault="00C40812" w:rsidP="0039636F">
      <w:pPr>
        <w:pStyle w:val="JuPara"/>
      </w:pPr>
      <w:r>
        <w:fldChar w:fldCharType="begin"/>
      </w:r>
      <w:r w:rsidR="00362088">
        <w:instrText xml:space="preserve"> SEQ level0 \*arabic </w:instrText>
      </w:r>
      <w:r>
        <w:fldChar w:fldCharType="separate"/>
      </w:r>
      <w:r w:rsidR="006E0C02">
        <w:rPr>
          <w:noProof/>
        </w:rPr>
        <w:t>10</w:t>
      </w:r>
      <w:r>
        <w:fldChar w:fldCharType="end"/>
      </w:r>
      <w:r w:rsidR="00362088">
        <w:t xml:space="preserve">.  In the same article the applicant also </w:t>
      </w:r>
      <w:r w:rsidR="00A844BA">
        <w:t>re</w:t>
      </w:r>
      <w:r w:rsidR="00362088">
        <w:t xml:space="preserve">cited the aforementioned report </w:t>
      </w:r>
      <w:r w:rsidR="00F06434">
        <w:t xml:space="preserve">by the </w:t>
      </w:r>
      <w:r w:rsidR="00362088">
        <w:t>doctor from</w:t>
      </w:r>
      <w:r w:rsidR="00EB3772">
        <w:t xml:space="preserve"> the</w:t>
      </w:r>
      <w:r w:rsidR="00362088">
        <w:t xml:space="preserve"> children</w:t>
      </w:r>
      <w:r w:rsidR="00CE66E6">
        <w:t>’</w:t>
      </w:r>
      <w:r w:rsidR="00EB3772">
        <w:t>s</w:t>
      </w:r>
      <w:r w:rsidR="00362088">
        <w:t xml:space="preserve"> rehabilitation institution “</w:t>
      </w:r>
      <w:r w:rsidR="00362088" w:rsidRPr="00EB3772">
        <w:rPr>
          <w:i/>
        </w:rPr>
        <w:t>Palangos gintaras</w:t>
      </w:r>
      <w:r w:rsidR="00362088">
        <w:t xml:space="preserve">”. Overall, the applicant was critical towards the CWS employees and contended that “the “specialists” </w:t>
      </w:r>
      <w:r w:rsidR="00BB3F4A">
        <w:t xml:space="preserve">in </w:t>
      </w:r>
      <w:r w:rsidR="00362088">
        <w:t>children</w:t>
      </w:r>
      <w:r w:rsidR="00CE66E6">
        <w:t>’</w:t>
      </w:r>
      <w:r w:rsidR="001014F5">
        <w:t>s</w:t>
      </w:r>
      <w:r w:rsidR="00362088">
        <w:t xml:space="preserve"> rights in </w:t>
      </w:r>
      <w:smartTag w:uri="urn:schemas-microsoft-com:office:smarttags" w:element="place">
        <w:smartTag w:uri="urn:schemas-microsoft-com:office:smarttags" w:element="country-region">
          <w:r w:rsidR="00362088">
            <w:t>Lithuania</w:t>
          </w:r>
        </w:smartTag>
      </w:smartTag>
      <w:r w:rsidR="00362088">
        <w:t xml:space="preserve"> </w:t>
      </w:r>
      <w:r w:rsidR="00EB3772">
        <w:t xml:space="preserve">were </w:t>
      </w:r>
      <w:r w:rsidR="00362088">
        <w:t xml:space="preserve">former seamstresses, engineers, agricultural workers, </w:t>
      </w:r>
      <w:r w:rsidR="001735A7">
        <w:t>operators</w:t>
      </w:r>
      <w:r w:rsidR="00362088">
        <w:t xml:space="preserve"> of building machines</w:t>
      </w:r>
      <w:r w:rsidR="0000462A">
        <w:t xml:space="preserve"> and the directors of juvenile prisons</w:t>
      </w:r>
      <w:r w:rsidR="00362088">
        <w:t>”</w:t>
      </w:r>
      <w:r w:rsidR="00021E36">
        <w:t>.</w:t>
      </w:r>
    </w:p>
    <w:p w:rsidR="00021E36" w:rsidRPr="005B2522" w:rsidRDefault="00C40812" w:rsidP="0039636F">
      <w:pPr>
        <w:pStyle w:val="JuPara"/>
      </w:pPr>
      <w:r>
        <w:fldChar w:fldCharType="begin"/>
      </w:r>
      <w:r w:rsidR="00021E36">
        <w:instrText xml:space="preserve"> SEQ level0 \*arabic </w:instrText>
      </w:r>
      <w:r>
        <w:fldChar w:fldCharType="separate"/>
      </w:r>
      <w:r w:rsidR="006E0C02">
        <w:rPr>
          <w:noProof/>
        </w:rPr>
        <w:t>11</w:t>
      </w:r>
      <w:r>
        <w:fldChar w:fldCharType="end"/>
      </w:r>
      <w:r w:rsidR="00021E36">
        <w:t xml:space="preserve">.  The Government submitted that the applicant </w:t>
      </w:r>
      <w:r w:rsidR="001014F5">
        <w:t xml:space="preserve">had </w:t>
      </w:r>
      <w:r w:rsidR="00021E36">
        <w:t xml:space="preserve">disclosed similar information, including the </w:t>
      </w:r>
      <w:r w:rsidR="005A0083">
        <w:t>fore</w:t>
      </w:r>
      <w:r w:rsidR="00021E36">
        <w:t xml:space="preserve">names and surnames of her son and former husband, on the </w:t>
      </w:r>
      <w:r w:rsidR="001014F5">
        <w:t>television programme</w:t>
      </w:r>
      <w:r w:rsidR="00021E36">
        <w:t xml:space="preserve"> “</w:t>
      </w:r>
      <w:r w:rsidR="00021E36" w:rsidRPr="001014F5">
        <w:rPr>
          <w:i/>
        </w:rPr>
        <w:t>Autodafe</w:t>
      </w:r>
      <w:r w:rsidR="00021E36">
        <w:t>”, aired in May</w:t>
      </w:r>
      <w:r w:rsidR="000568B5">
        <w:t> </w:t>
      </w:r>
      <w:r w:rsidR="00021E36">
        <w:t xml:space="preserve">2001. The Government were </w:t>
      </w:r>
      <w:r w:rsidR="00BB3F4A">
        <w:t xml:space="preserve">prepared </w:t>
      </w:r>
      <w:r w:rsidR="00021E36">
        <w:t>to provide the tape of the show upon the Court</w:t>
      </w:r>
      <w:r w:rsidR="00CE66E6">
        <w:t>’</w:t>
      </w:r>
      <w:r w:rsidR="00A52B4D">
        <w:t xml:space="preserve">s request, although in their view the two </w:t>
      </w:r>
      <w:r w:rsidR="00D11771">
        <w:t xml:space="preserve">articles </w:t>
      </w:r>
      <w:r w:rsidR="00A52B4D">
        <w:t>publi</w:t>
      </w:r>
      <w:r w:rsidR="00BB3F4A">
        <w:t>shed</w:t>
      </w:r>
      <w:r w:rsidR="00A52B4D">
        <w:t xml:space="preserve"> in </w:t>
      </w:r>
      <w:r w:rsidR="00A52B4D" w:rsidRPr="001014F5">
        <w:rPr>
          <w:i/>
        </w:rPr>
        <w:t>Respublika</w:t>
      </w:r>
      <w:r w:rsidR="00A52B4D">
        <w:t xml:space="preserve"> and </w:t>
      </w:r>
      <w:r w:rsidR="00A52B4D" w:rsidRPr="001014F5">
        <w:rPr>
          <w:i/>
        </w:rPr>
        <w:t>Lietuvos Aidas</w:t>
      </w:r>
      <w:r w:rsidR="00A52B4D">
        <w:t xml:space="preserve"> were fairly eloquent.</w:t>
      </w:r>
    </w:p>
    <w:p w:rsidR="00404F2A" w:rsidRDefault="00C40812" w:rsidP="0039636F">
      <w:pPr>
        <w:pStyle w:val="JuPara"/>
        <w:rPr>
          <w:szCs w:val="24"/>
        </w:rPr>
      </w:pPr>
      <w:r w:rsidRPr="005B2522">
        <w:fldChar w:fldCharType="begin"/>
      </w:r>
      <w:r w:rsidR="00F22905" w:rsidRPr="005B2522">
        <w:instrText xml:space="preserve"> SEQ level0 \*arabic </w:instrText>
      </w:r>
      <w:r w:rsidRPr="005B2522">
        <w:fldChar w:fldCharType="separate"/>
      </w:r>
      <w:r w:rsidR="006E0C02">
        <w:rPr>
          <w:noProof/>
        </w:rPr>
        <w:t>12</w:t>
      </w:r>
      <w:r w:rsidRPr="005B2522">
        <w:fldChar w:fldCharType="end"/>
      </w:r>
      <w:r w:rsidR="00064D89">
        <w:t>.</w:t>
      </w:r>
      <w:r w:rsidR="00F71A6A" w:rsidRPr="005B2522">
        <w:t>  </w:t>
      </w:r>
      <w:r w:rsidR="009520B5">
        <w:t xml:space="preserve"> On </w:t>
      </w:r>
      <w:r w:rsidR="00B37211">
        <w:t>15</w:t>
      </w:r>
      <w:r w:rsidR="000568B5">
        <w:t> </w:t>
      </w:r>
      <w:r w:rsidR="00B37211">
        <w:t>June</w:t>
      </w:r>
      <w:r w:rsidR="000568B5">
        <w:t> </w:t>
      </w:r>
      <w:r w:rsidR="00B37211">
        <w:t xml:space="preserve">2001 </w:t>
      </w:r>
      <w:r w:rsidR="001735A7">
        <w:t>the daily</w:t>
      </w:r>
      <w:r w:rsidR="001014F5">
        <w:t xml:space="preserve"> newspaper</w:t>
      </w:r>
      <w:r w:rsidR="009520B5">
        <w:t xml:space="preserve"> </w:t>
      </w:r>
      <w:r w:rsidR="009520B5" w:rsidRPr="001014F5">
        <w:rPr>
          <w:i/>
        </w:rPr>
        <w:t>Lietuvos Aidas</w:t>
      </w:r>
      <w:r w:rsidR="009520B5">
        <w:t xml:space="preserve"> published an article </w:t>
      </w:r>
      <w:r w:rsidR="00B37211">
        <w:t>about the work of</w:t>
      </w:r>
      <w:r w:rsidR="000C7C52">
        <w:t xml:space="preserve"> the CWS</w:t>
      </w:r>
      <w:r w:rsidR="00C55712">
        <w:rPr>
          <w:szCs w:val="24"/>
        </w:rPr>
        <w:t xml:space="preserve"> </w:t>
      </w:r>
      <w:r w:rsidR="001014F5">
        <w:rPr>
          <w:szCs w:val="24"/>
        </w:rPr>
        <w:t xml:space="preserve">entitled </w:t>
      </w:r>
      <w:r w:rsidR="00194536">
        <w:rPr>
          <w:szCs w:val="24"/>
        </w:rPr>
        <w:t xml:space="preserve">“The </w:t>
      </w:r>
      <w:r w:rsidR="001014F5">
        <w:rPr>
          <w:szCs w:val="24"/>
        </w:rPr>
        <w:t>overworked</w:t>
      </w:r>
      <w:r w:rsidR="00194536">
        <w:rPr>
          <w:szCs w:val="24"/>
        </w:rPr>
        <w:t xml:space="preserve"> employees of the CWS are convinced that </w:t>
      </w:r>
      <w:r w:rsidR="001014F5">
        <w:rPr>
          <w:szCs w:val="24"/>
        </w:rPr>
        <w:t>you</w:t>
      </w:r>
      <w:r w:rsidR="00194536">
        <w:rPr>
          <w:szCs w:val="24"/>
        </w:rPr>
        <w:t xml:space="preserve"> </w:t>
      </w:r>
      <w:r w:rsidR="001014F5">
        <w:rPr>
          <w:szCs w:val="24"/>
        </w:rPr>
        <w:t>can</w:t>
      </w:r>
      <w:r w:rsidR="00194536">
        <w:rPr>
          <w:szCs w:val="24"/>
        </w:rPr>
        <w:t>not buy a child</w:t>
      </w:r>
      <w:r w:rsidR="00CE66E6">
        <w:rPr>
          <w:szCs w:val="24"/>
        </w:rPr>
        <w:t>’</w:t>
      </w:r>
      <w:r w:rsidR="00194536">
        <w:rPr>
          <w:szCs w:val="24"/>
        </w:rPr>
        <w:t>s love</w:t>
      </w:r>
      <w:r w:rsidR="001014F5">
        <w:rPr>
          <w:szCs w:val="24"/>
        </w:rPr>
        <w:t>”</w:t>
      </w:r>
      <w:r w:rsidR="00194536">
        <w:rPr>
          <w:szCs w:val="24"/>
        </w:rPr>
        <w:t xml:space="preserve"> (</w:t>
      </w:r>
      <w:r w:rsidR="00194536" w:rsidRPr="00E11C96">
        <w:rPr>
          <w:i/>
          <w:szCs w:val="24"/>
        </w:rPr>
        <w:t>Patirian</w:t>
      </w:r>
      <w:r w:rsidR="001735A7" w:rsidRPr="00E11C96">
        <w:rPr>
          <w:i/>
          <w:szCs w:val="24"/>
        </w:rPr>
        <w:t>č</w:t>
      </w:r>
      <w:r w:rsidR="00194536" w:rsidRPr="00E11C96">
        <w:rPr>
          <w:i/>
          <w:szCs w:val="24"/>
        </w:rPr>
        <w:t>ios stres</w:t>
      </w:r>
      <w:r w:rsidR="001735A7" w:rsidRPr="00E11C96">
        <w:rPr>
          <w:i/>
          <w:szCs w:val="24"/>
        </w:rPr>
        <w:t>ą</w:t>
      </w:r>
      <w:r w:rsidR="00194536" w:rsidRPr="00E11C96">
        <w:rPr>
          <w:i/>
          <w:szCs w:val="24"/>
        </w:rPr>
        <w:t xml:space="preserve"> darbe VTAT darbuotojos </w:t>
      </w:r>
      <w:r w:rsidR="001735A7" w:rsidRPr="00E11C96">
        <w:rPr>
          <w:i/>
          <w:szCs w:val="24"/>
        </w:rPr>
        <w:t>į</w:t>
      </w:r>
      <w:r w:rsidR="00194536" w:rsidRPr="00E11C96">
        <w:rPr>
          <w:i/>
          <w:szCs w:val="24"/>
        </w:rPr>
        <w:t>sitikinusios, kad vaiko meil</w:t>
      </w:r>
      <w:r w:rsidR="001735A7" w:rsidRPr="00E11C96">
        <w:rPr>
          <w:i/>
          <w:szCs w:val="24"/>
        </w:rPr>
        <w:t>ė</w:t>
      </w:r>
      <w:r w:rsidR="00194536" w:rsidRPr="00E11C96">
        <w:rPr>
          <w:i/>
          <w:szCs w:val="24"/>
        </w:rPr>
        <w:t>s nusipirkti ne</w:t>
      </w:r>
      <w:r w:rsidR="001735A7" w:rsidRPr="00E11C96">
        <w:rPr>
          <w:i/>
          <w:szCs w:val="24"/>
        </w:rPr>
        <w:t>į</w:t>
      </w:r>
      <w:r w:rsidR="00194536" w:rsidRPr="00E11C96">
        <w:rPr>
          <w:i/>
          <w:szCs w:val="24"/>
        </w:rPr>
        <w:t>manoma</w:t>
      </w:r>
      <w:r w:rsidR="00194536">
        <w:rPr>
          <w:szCs w:val="24"/>
        </w:rPr>
        <w:t>)</w:t>
      </w:r>
      <w:r w:rsidR="00B37211">
        <w:rPr>
          <w:szCs w:val="24"/>
        </w:rPr>
        <w:t xml:space="preserve">. </w:t>
      </w:r>
      <w:r w:rsidR="00194536">
        <w:rPr>
          <w:szCs w:val="24"/>
        </w:rPr>
        <w:t xml:space="preserve">In the </w:t>
      </w:r>
      <w:r w:rsidR="0039636F">
        <w:rPr>
          <w:szCs w:val="24"/>
        </w:rPr>
        <w:t>article</w:t>
      </w:r>
      <w:r w:rsidR="001014F5">
        <w:rPr>
          <w:szCs w:val="24"/>
        </w:rPr>
        <w:t>,</w:t>
      </w:r>
      <w:r w:rsidR="00194536">
        <w:rPr>
          <w:szCs w:val="24"/>
        </w:rPr>
        <w:t xml:space="preserve"> t</w:t>
      </w:r>
      <w:r w:rsidR="00C55712">
        <w:rPr>
          <w:szCs w:val="24"/>
        </w:rPr>
        <w:t xml:space="preserve">he </w:t>
      </w:r>
      <w:r w:rsidR="00194536">
        <w:rPr>
          <w:szCs w:val="24"/>
        </w:rPr>
        <w:t>director</w:t>
      </w:r>
      <w:r w:rsidR="00C55712">
        <w:rPr>
          <w:szCs w:val="24"/>
        </w:rPr>
        <w:t xml:space="preserve"> of the CWS</w:t>
      </w:r>
      <w:r w:rsidR="009D27C3">
        <w:rPr>
          <w:szCs w:val="24"/>
        </w:rPr>
        <w:t>, N.S.,</w:t>
      </w:r>
      <w:r w:rsidR="00C55712">
        <w:rPr>
          <w:szCs w:val="24"/>
        </w:rPr>
        <w:t xml:space="preserve"> described the </w:t>
      </w:r>
      <w:r w:rsidR="00194536">
        <w:rPr>
          <w:szCs w:val="24"/>
        </w:rPr>
        <w:t xml:space="preserve">day-to-day issues </w:t>
      </w:r>
      <w:r w:rsidR="00F06434">
        <w:rPr>
          <w:szCs w:val="24"/>
        </w:rPr>
        <w:t>tackled by</w:t>
      </w:r>
      <w:r w:rsidR="001014F5">
        <w:rPr>
          <w:szCs w:val="24"/>
        </w:rPr>
        <w:t xml:space="preserve"> C</w:t>
      </w:r>
      <w:r w:rsidR="00194536">
        <w:rPr>
          <w:szCs w:val="24"/>
        </w:rPr>
        <w:t xml:space="preserve">WS employees. </w:t>
      </w:r>
      <w:r w:rsidR="004B52A7">
        <w:rPr>
          <w:szCs w:val="24"/>
        </w:rPr>
        <w:t xml:space="preserve">She noted, at the outset, that about 122,000 children live in </w:t>
      </w:r>
      <w:smartTag w:uri="urn:schemas-microsoft-com:office:smarttags" w:element="place">
        <w:smartTag w:uri="urn:schemas-microsoft-com:office:smarttags" w:element="City">
          <w:r w:rsidR="004B52A7">
            <w:rPr>
              <w:szCs w:val="24"/>
            </w:rPr>
            <w:t>Vilnius</w:t>
          </w:r>
        </w:smartTag>
      </w:smartTag>
      <w:r w:rsidR="004B52A7">
        <w:rPr>
          <w:szCs w:val="24"/>
        </w:rPr>
        <w:t xml:space="preserve">. </w:t>
      </w:r>
      <w:r w:rsidR="00194536">
        <w:rPr>
          <w:szCs w:val="24"/>
        </w:rPr>
        <w:t>As one of the recurring matters the director mentioned court proceedings with a view to establish</w:t>
      </w:r>
      <w:r w:rsidR="005933AE">
        <w:rPr>
          <w:szCs w:val="24"/>
        </w:rPr>
        <w:t>ing</w:t>
      </w:r>
      <w:r w:rsidR="00194536">
        <w:rPr>
          <w:szCs w:val="24"/>
        </w:rPr>
        <w:t xml:space="preserve"> a child</w:t>
      </w:r>
      <w:r w:rsidR="00CE66E6">
        <w:rPr>
          <w:szCs w:val="24"/>
        </w:rPr>
        <w:t>’</w:t>
      </w:r>
      <w:r w:rsidR="00194536">
        <w:rPr>
          <w:szCs w:val="24"/>
        </w:rPr>
        <w:t>s place of residence and pointed to children</w:t>
      </w:r>
      <w:r w:rsidR="00CE66E6">
        <w:rPr>
          <w:szCs w:val="24"/>
        </w:rPr>
        <w:t>’</w:t>
      </w:r>
      <w:r w:rsidR="00194536">
        <w:rPr>
          <w:szCs w:val="24"/>
        </w:rPr>
        <w:t xml:space="preserve">s vulnerability when in court. </w:t>
      </w:r>
      <w:r w:rsidR="004B52A7">
        <w:rPr>
          <w:szCs w:val="24"/>
        </w:rPr>
        <w:t>To illustrate the issue, the director stated:</w:t>
      </w:r>
    </w:p>
    <w:p w:rsidR="00404F2A" w:rsidRDefault="009E602E" w:rsidP="009E602E">
      <w:pPr>
        <w:pStyle w:val="JuQuot"/>
      </w:pPr>
      <w:r w:rsidDel="009E602E">
        <w:t xml:space="preserve"> </w:t>
      </w:r>
      <w:r w:rsidR="009520B5" w:rsidRPr="00994A30">
        <w:t>“</w:t>
      </w:r>
      <w:r w:rsidR="00161877">
        <w:t>...</w:t>
      </w:r>
      <w:r w:rsidR="009520B5" w:rsidRPr="00994A30">
        <w:t xml:space="preserve"> </w:t>
      </w:r>
      <w:r w:rsidR="009520B5">
        <w:t xml:space="preserve">[T]he </w:t>
      </w:r>
      <w:r w:rsidR="009520B5" w:rsidRPr="00994A30">
        <w:t>court</w:t>
      </w:r>
      <w:r w:rsidR="009520B5">
        <w:t xml:space="preserve"> is</w:t>
      </w:r>
      <w:r w:rsidR="009520B5" w:rsidRPr="00994A30">
        <w:t xml:space="preserve"> </w:t>
      </w:r>
      <w:r w:rsidR="009520B5">
        <w:t xml:space="preserve">examining </w:t>
      </w:r>
      <w:r w:rsidR="00C55712">
        <w:t>a</w:t>
      </w:r>
      <w:r w:rsidR="009520B5">
        <w:t xml:space="preserve"> </w:t>
      </w:r>
      <w:r w:rsidR="00161877">
        <w:t>...</w:t>
      </w:r>
      <w:r w:rsidR="00C55712">
        <w:t xml:space="preserve"> </w:t>
      </w:r>
      <w:r w:rsidR="009520B5">
        <w:t>case against</w:t>
      </w:r>
      <w:r w:rsidR="009520B5" w:rsidRPr="00994A30">
        <w:t xml:space="preserve"> </w:t>
      </w:r>
      <w:r w:rsidR="005933AE">
        <w:t>a</w:t>
      </w:r>
      <w:r w:rsidR="009520B5" w:rsidRPr="00994A30">
        <w:t xml:space="preserve"> thirteen-year-old teenager</w:t>
      </w:r>
      <w:r w:rsidR="009520B5">
        <w:t xml:space="preserve"> </w:t>
      </w:r>
      <w:r w:rsidR="00161877">
        <w:t>...</w:t>
      </w:r>
    </w:p>
    <w:p w:rsidR="009520B5" w:rsidRDefault="009520B5" w:rsidP="009E602E">
      <w:pPr>
        <w:pStyle w:val="JuQuot"/>
      </w:pPr>
      <w:r>
        <w:t xml:space="preserve">The </w:t>
      </w:r>
      <w:r w:rsidRPr="00994A30">
        <w:t xml:space="preserve">mother </w:t>
      </w:r>
      <w:r w:rsidR="00D11771">
        <w:t xml:space="preserve">was </w:t>
      </w:r>
      <w:r w:rsidRPr="00994A30">
        <w:t>divorced several years ago</w:t>
      </w:r>
      <w:r>
        <w:t xml:space="preserve"> and</w:t>
      </w:r>
      <w:r w:rsidRPr="00994A30">
        <w:t xml:space="preserve"> is </w:t>
      </w:r>
      <w:r>
        <w:t xml:space="preserve">now </w:t>
      </w:r>
      <w:r w:rsidRPr="00994A30">
        <w:t>living with another man</w:t>
      </w:r>
      <w:r>
        <w:t xml:space="preserve"> </w:t>
      </w:r>
      <w:r w:rsidR="00161877">
        <w:t>...</w:t>
      </w:r>
    </w:p>
    <w:p w:rsidR="009520B5" w:rsidRPr="00994A30" w:rsidRDefault="009520B5" w:rsidP="009E602E">
      <w:pPr>
        <w:pStyle w:val="JuQuot"/>
      </w:pPr>
      <w:r>
        <w:t xml:space="preserve">After </w:t>
      </w:r>
      <w:r w:rsidRPr="00994A30">
        <w:t xml:space="preserve">the divorce, this woman and her </w:t>
      </w:r>
      <w:r>
        <w:t xml:space="preserve">former </w:t>
      </w:r>
      <w:r w:rsidRPr="00994A30">
        <w:t xml:space="preserve">husband concluded a friendly settlement whereby </w:t>
      </w:r>
      <w:r>
        <w:t>s</w:t>
      </w:r>
      <w:r w:rsidRPr="00994A30">
        <w:t xml:space="preserve">he promised to </w:t>
      </w:r>
      <w:r>
        <w:t>vis</w:t>
      </w:r>
      <w:r w:rsidRPr="00994A30">
        <w:t xml:space="preserve">it and </w:t>
      </w:r>
      <w:r>
        <w:t xml:space="preserve">take care of </w:t>
      </w:r>
      <w:r w:rsidRPr="00994A30">
        <w:t>the child</w:t>
      </w:r>
      <w:r>
        <w:t xml:space="preserve"> </w:t>
      </w:r>
      <w:r w:rsidR="00161877">
        <w:t>...</w:t>
      </w:r>
    </w:p>
    <w:p w:rsidR="009520B5" w:rsidRDefault="009520B5" w:rsidP="009E602E">
      <w:pPr>
        <w:pStyle w:val="JuQuot"/>
      </w:pPr>
      <w:r>
        <w:t>A</w:t>
      </w:r>
      <w:r w:rsidRPr="00994A30">
        <w:t xml:space="preserve">ccording to the </w:t>
      </w:r>
      <w:r w:rsidR="00FD0913">
        <w:t>CWS</w:t>
      </w:r>
      <w:r w:rsidRPr="00994A30">
        <w:t>, this wom</w:t>
      </w:r>
      <w:r>
        <w:t>a</w:t>
      </w:r>
      <w:r w:rsidRPr="00994A30">
        <w:t>n rarely me</w:t>
      </w:r>
      <w:r>
        <w:t>e</w:t>
      </w:r>
      <w:r w:rsidRPr="00994A30">
        <w:t>t</w:t>
      </w:r>
      <w:r>
        <w:t>s</w:t>
      </w:r>
      <w:r w:rsidRPr="00994A30">
        <w:t xml:space="preserve"> the child; during a TV </w:t>
      </w:r>
      <w:r w:rsidR="00D11771">
        <w:t>programme</w:t>
      </w:r>
      <w:r w:rsidR="00D11771" w:rsidRPr="00994A30">
        <w:t xml:space="preserve"> </w:t>
      </w:r>
      <w:r w:rsidRPr="00994A30">
        <w:t xml:space="preserve">she admitted that she </w:t>
      </w:r>
      <w:r>
        <w:t>di</w:t>
      </w:r>
      <w:r w:rsidRPr="00994A30">
        <w:t xml:space="preserve">d not know </w:t>
      </w:r>
      <w:r w:rsidR="00D11771">
        <w:t>her son</w:t>
      </w:r>
      <w:r w:rsidR="00CE66E6">
        <w:t>’</w:t>
      </w:r>
      <w:r w:rsidR="00D11771">
        <w:t>s</w:t>
      </w:r>
      <w:r w:rsidR="00D11771" w:rsidRPr="00994A30">
        <w:t xml:space="preserve"> </w:t>
      </w:r>
      <w:r w:rsidRPr="00994A30">
        <w:t xml:space="preserve">telephone number </w:t>
      </w:r>
      <w:r w:rsidR="00161877">
        <w:t>...</w:t>
      </w:r>
    </w:p>
    <w:p w:rsidR="00404F2A" w:rsidRDefault="009520B5" w:rsidP="009E602E">
      <w:pPr>
        <w:pStyle w:val="JuQuot"/>
      </w:pPr>
      <w:r>
        <w:t>A</w:t>
      </w:r>
      <w:r w:rsidRPr="00994A30">
        <w:t xml:space="preserve">lthough the woman alleged that she </w:t>
      </w:r>
      <w:r>
        <w:t xml:space="preserve">was not </w:t>
      </w:r>
      <w:r w:rsidRPr="00994A30">
        <w:t xml:space="preserve">allowed to meet her child </w:t>
      </w:r>
      <w:r w:rsidR="00161877">
        <w:t>...</w:t>
      </w:r>
      <w:r w:rsidRPr="00994A30">
        <w:t xml:space="preserve"> </w:t>
      </w:r>
      <w:r w:rsidR="00D11771">
        <w:t xml:space="preserve">it is </w:t>
      </w:r>
      <w:r w:rsidRPr="00994A30">
        <w:t>the child himself</w:t>
      </w:r>
      <w:r w:rsidR="00D11771">
        <w:t xml:space="preserve"> who</w:t>
      </w:r>
      <w:r w:rsidRPr="00994A30">
        <w:t xml:space="preserve"> d</w:t>
      </w:r>
      <w:r>
        <w:t>oes not want to see his mother, according to employees</w:t>
      </w:r>
      <w:r w:rsidRPr="00994A30">
        <w:t xml:space="preserve"> of the </w:t>
      </w:r>
      <w:r>
        <w:t xml:space="preserve">CWS </w:t>
      </w:r>
      <w:r w:rsidR="00161877">
        <w:t>...</w:t>
      </w:r>
    </w:p>
    <w:p w:rsidR="009520B5" w:rsidRPr="0056199F" w:rsidRDefault="009520B5" w:rsidP="009E602E">
      <w:pPr>
        <w:pStyle w:val="JuQuot"/>
      </w:pPr>
      <w:r>
        <w:t>A</w:t>
      </w:r>
      <w:r w:rsidRPr="00994A30">
        <w:t xml:space="preserve">ccording to </w:t>
      </w:r>
      <w:r>
        <w:t>employees of the CWS</w:t>
      </w:r>
      <w:r w:rsidRPr="0056199F">
        <w:t xml:space="preserve">, the boy used to </w:t>
      </w:r>
      <w:r>
        <w:t>recount</w:t>
      </w:r>
      <w:r w:rsidRPr="0056199F">
        <w:t xml:space="preserve"> that </w:t>
      </w:r>
      <w:r w:rsidR="00161877">
        <w:t>...</w:t>
      </w:r>
      <w:r w:rsidRPr="0056199F">
        <w:t xml:space="preserve"> his mother </w:t>
      </w:r>
      <w:r w:rsidR="00161877">
        <w:t>...</w:t>
      </w:r>
      <w:r w:rsidRPr="0056199F">
        <w:t xml:space="preserve"> rarely called him, </w:t>
      </w:r>
      <w:r>
        <w:t xml:space="preserve">[and] </w:t>
      </w:r>
      <w:r w:rsidRPr="0056199F">
        <w:t>that she started attending parents</w:t>
      </w:r>
      <w:r w:rsidR="00CE66E6">
        <w:t>’</w:t>
      </w:r>
      <w:r w:rsidRPr="0056199F">
        <w:t xml:space="preserve"> meetings at school only after his </w:t>
      </w:r>
      <w:r>
        <w:t xml:space="preserve">grades </w:t>
      </w:r>
      <w:r w:rsidRPr="0056199F">
        <w:t>deteriorate</w:t>
      </w:r>
      <w:r>
        <w:t xml:space="preserve">d </w:t>
      </w:r>
      <w:r w:rsidR="00161877">
        <w:t>...</w:t>
      </w:r>
    </w:p>
    <w:p w:rsidR="00404F2A" w:rsidRDefault="009520B5" w:rsidP="009E602E">
      <w:pPr>
        <w:pStyle w:val="JuQuot"/>
      </w:pPr>
      <w:r>
        <w:t>[I]</w:t>
      </w:r>
      <w:r w:rsidRPr="0056199F">
        <w:t xml:space="preserve">s it not possible to buy </w:t>
      </w:r>
      <w:r>
        <w:t xml:space="preserve">the </w:t>
      </w:r>
      <w:r w:rsidRPr="0056199F">
        <w:t xml:space="preserve">love </w:t>
      </w:r>
      <w:r>
        <w:t>of one</w:t>
      </w:r>
      <w:r w:rsidR="00CE66E6">
        <w:t>’</w:t>
      </w:r>
      <w:r>
        <w:t xml:space="preserve">s child </w:t>
      </w:r>
      <w:r w:rsidRPr="0056199F">
        <w:t xml:space="preserve">by </w:t>
      </w:r>
      <w:r w:rsidR="00D11771">
        <w:t xml:space="preserve">the </w:t>
      </w:r>
      <w:r w:rsidRPr="0056199F">
        <w:t xml:space="preserve">slander of [State] </w:t>
      </w:r>
      <w:r w:rsidR="00FD0913">
        <w:br w:type="textWrapping" w:clear="all"/>
      </w:r>
      <w:r w:rsidRPr="0056199F">
        <w:t>services</w:t>
      </w:r>
      <w:r w:rsidR="00FD0913">
        <w:t xml:space="preserve"> [?] </w:t>
      </w:r>
      <w:r w:rsidR="00161877">
        <w:t>...</w:t>
      </w:r>
    </w:p>
    <w:p w:rsidR="009520B5" w:rsidRPr="0056199F" w:rsidRDefault="009520B5" w:rsidP="009E602E">
      <w:pPr>
        <w:pStyle w:val="JuQuot"/>
      </w:pPr>
      <w:r>
        <w:t>W</w:t>
      </w:r>
      <w:r w:rsidRPr="0056199F">
        <w:t xml:space="preserve">hy does the mother not go to </w:t>
      </w:r>
      <w:r>
        <w:t xml:space="preserve">the </w:t>
      </w:r>
      <w:r w:rsidRPr="0056199F">
        <w:t>school</w:t>
      </w:r>
      <w:r>
        <w:t>;</w:t>
      </w:r>
      <w:r w:rsidRPr="0056199F">
        <w:t xml:space="preserve"> why does she not wait for him there?</w:t>
      </w:r>
      <w:r>
        <w:t xml:space="preserve"> </w:t>
      </w:r>
      <w:r w:rsidR="00161877">
        <w:t>...</w:t>
      </w:r>
    </w:p>
    <w:p w:rsidR="009520B5" w:rsidRPr="0056199F" w:rsidRDefault="00CE66E6" w:rsidP="009E602E">
      <w:pPr>
        <w:pStyle w:val="JuQuot"/>
      </w:pPr>
      <w:r>
        <w:t>‘</w:t>
      </w:r>
      <w:r w:rsidR="009520B5">
        <w:t>[S]</w:t>
      </w:r>
      <w:r w:rsidR="009520B5" w:rsidRPr="0056199F">
        <w:t xml:space="preserve">he could </w:t>
      </w:r>
      <w:r w:rsidR="00D11771">
        <w:t>apologise</w:t>
      </w:r>
      <w:r w:rsidR="009520B5">
        <w:t>;</w:t>
      </w:r>
      <w:r w:rsidR="009520B5" w:rsidRPr="0056199F">
        <w:t xml:space="preserve"> tell him that she loves him,</w:t>
      </w:r>
      <w:r>
        <w:t>’</w:t>
      </w:r>
      <w:r w:rsidR="009520B5" w:rsidRPr="0056199F">
        <w:t xml:space="preserve"> considered the employees of the </w:t>
      </w:r>
      <w:r w:rsidR="009520B5">
        <w:t xml:space="preserve">CWS </w:t>
      </w:r>
      <w:r w:rsidR="00161877">
        <w:t>...</w:t>
      </w:r>
    </w:p>
    <w:p w:rsidR="00404F2A" w:rsidRDefault="00CE66E6" w:rsidP="009E602E">
      <w:pPr>
        <w:pStyle w:val="JuQuot"/>
      </w:pPr>
      <w:r>
        <w:t>‘</w:t>
      </w:r>
      <w:r w:rsidR="009520B5">
        <w:t>[T]</w:t>
      </w:r>
      <w:r w:rsidR="009520B5" w:rsidRPr="00994A30">
        <w:t>he child</w:t>
      </w:r>
      <w:r>
        <w:t>’</w:t>
      </w:r>
      <w:r w:rsidR="009520B5" w:rsidRPr="00994A30">
        <w:t xml:space="preserve">s bicycle and piano </w:t>
      </w:r>
      <w:r w:rsidR="009520B5">
        <w:t xml:space="preserve">[were] </w:t>
      </w:r>
      <w:r w:rsidR="009520B5" w:rsidRPr="00994A30">
        <w:t>left in the old apartment; why do</w:t>
      </w:r>
      <w:r w:rsidR="009520B5">
        <w:t>es</w:t>
      </w:r>
      <w:r w:rsidR="009520B5" w:rsidRPr="00994A30">
        <w:t>n</w:t>
      </w:r>
      <w:r>
        <w:t>’</w:t>
      </w:r>
      <w:r w:rsidR="009520B5" w:rsidRPr="00994A30">
        <w:t xml:space="preserve">t the mother </w:t>
      </w:r>
      <w:r w:rsidR="009520B5">
        <w:t xml:space="preserve">propose </w:t>
      </w:r>
      <w:r w:rsidR="00D11771">
        <w:t xml:space="preserve">to </w:t>
      </w:r>
      <w:r w:rsidR="009520B5">
        <w:t>her</w:t>
      </w:r>
      <w:r w:rsidR="009520B5" w:rsidRPr="00994A30">
        <w:t xml:space="preserve"> child </w:t>
      </w:r>
      <w:r w:rsidR="00D11771">
        <w:t xml:space="preserve">that he </w:t>
      </w:r>
      <w:r w:rsidR="009520B5" w:rsidRPr="00994A30">
        <w:t>play the instrument at least several hours per day?</w:t>
      </w:r>
      <w:r w:rsidR="009520B5">
        <w:t>,</w:t>
      </w:r>
      <w:r>
        <w:t>’</w:t>
      </w:r>
      <w:r w:rsidR="009520B5">
        <w:t xml:space="preserve"> </w:t>
      </w:r>
      <w:r w:rsidR="009520B5" w:rsidRPr="00994A30">
        <w:t>w</w:t>
      </w:r>
      <w:r w:rsidR="009520B5">
        <w:t>o</w:t>
      </w:r>
      <w:r w:rsidR="009520B5" w:rsidRPr="00994A30">
        <w:t xml:space="preserve">ndered the employees of the </w:t>
      </w:r>
      <w:r w:rsidR="009520B5">
        <w:t xml:space="preserve">[CWS] </w:t>
      </w:r>
      <w:r w:rsidR="00161877">
        <w:t>...</w:t>
      </w:r>
      <w:r w:rsidR="009520B5">
        <w:t>”</w:t>
      </w:r>
    </w:p>
    <w:p w:rsidR="0000779B" w:rsidRDefault="00C40812" w:rsidP="0039636F">
      <w:pPr>
        <w:pStyle w:val="JuPara"/>
      </w:pPr>
      <w:r>
        <w:fldChar w:fldCharType="begin"/>
      </w:r>
      <w:r w:rsidR="0000779B">
        <w:instrText xml:space="preserve"> SEQ level0 \*arabic </w:instrText>
      </w:r>
      <w:r>
        <w:fldChar w:fldCharType="separate"/>
      </w:r>
      <w:r w:rsidR="006E0C02">
        <w:rPr>
          <w:noProof/>
        </w:rPr>
        <w:t>13</w:t>
      </w:r>
      <w:r>
        <w:fldChar w:fldCharType="end"/>
      </w:r>
      <w:r w:rsidR="0000779B">
        <w:t>.  </w:t>
      </w:r>
      <w:r w:rsidR="009520B5">
        <w:t xml:space="preserve">The article went on to cite the </w:t>
      </w:r>
      <w:r w:rsidR="00E11C96">
        <w:t>child</w:t>
      </w:r>
      <w:r w:rsidR="00CE66E6">
        <w:t>’</w:t>
      </w:r>
      <w:r w:rsidR="009520B5">
        <w:t>s medical records</w:t>
      </w:r>
      <w:r w:rsidR="001014F5">
        <w:t>,</w:t>
      </w:r>
      <w:r w:rsidR="009520B5">
        <w:t xml:space="preserve"> which the CWS had obtained from </w:t>
      </w:r>
      <w:r w:rsidR="00CD3381">
        <w:t>the Vilnius Child Development Centre Psychiatric Unit</w:t>
      </w:r>
      <w:r w:rsidR="0000779B">
        <w:t>. The article read as follows:</w:t>
      </w:r>
    </w:p>
    <w:p w:rsidR="0000779B" w:rsidRDefault="0000779B" w:rsidP="0039636F">
      <w:pPr>
        <w:pStyle w:val="JuQuot"/>
      </w:pPr>
      <w:r>
        <w:t>“[The psychiatrists</w:t>
      </w:r>
      <w:r w:rsidR="00CE66E6">
        <w:t>’</w:t>
      </w:r>
      <w:r>
        <w:t xml:space="preserve">] conclusion states that at present it is best for the boy to live with guardians, because the parents need psychological help. The </w:t>
      </w:r>
      <w:r w:rsidR="00CD3381">
        <w:t>psychiatrists</w:t>
      </w:r>
      <w:r w:rsidR="00CE66E6">
        <w:t>’</w:t>
      </w:r>
      <w:r>
        <w:t xml:space="preserve"> conclusion </w:t>
      </w:r>
      <w:r w:rsidR="00AD6C15">
        <w:t xml:space="preserve">states </w:t>
      </w:r>
      <w:r>
        <w:t xml:space="preserve">that the boy is hostile towards his mother, because she betrayed the family by marrying another man. Moreover, </w:t>
      </w:r>
      <w:r w:rsidR="009906A3">
        <w:t>conflicts</w:t>
      </w:r>
      <w:r>
        <w:t xml:space="preserve"> </w:t>
      </w:r>
      <w:r w:rsidR="00D11771">
        <w:t xml:space="preserve">have arisen </w:t>
      </w:r>
      <w:r>
        <w:t xml:space="preserve">between the boy and </w:t>
      </w:r>
      <w:r w:rsidR="00D11771">
        <w:t>his mother</w:t>
      </w:r>
      <w:r w:rsidR="00CE66E6">
        <w:t>’</w:t>
      </w:r>
      <w:r w:rsidR="00D11771">
        <w:t xml:space="preserve">s </w:t>
      </w:r>
      <w:r>
        <w:t xml:space="preserve">current husband. According to the doctor, </w:t>
      </w:r>
      <w:r w:rsidR="00D11771">
        <w:t xml:space="preserve">his </w:t>
      </w:r>
      <w:r>
        <w:t xml:space="preserve">real father asks too much </w:t>
      </w:r>
      <w:r w:rsidR="00D11771">
        <w:t xml:space="preserve">of </w:t>
      </w:r>
      <w:r>
        <w:t xml:space="preserve">the boy, </w:t>
      </w:r>
      <w:r w:rsidR="00AD6C15">
        <w:t xml:space="preserve">and </w:t>
      </w:r>
      <w:r>
        <w:t xml:space="preserve">does not allow him to communicate with other children. The mother suspects that the boy could be </w:t>
      </w:r>
      <w:r w:rsidR="00D11771">
        <w:t xml:space="preserve">being </w:t>
      </w:r>
      <w:r>
        <w:t xml:space="preserve">sexually abused. </w:t>
      </w:r>
      <w:r w:rsidR="00637D10">
        <w:t>After [the doctors] examined the boy, no signs of abuse were discovered. The [psychiatrists</w:t>
      </w:r>
      <w:r w:rsidR="00CE66E6">
        <w:t>’</w:t>
      </w:r>
      <w:r w:rsidR="00637D10">
        <w:t xml:space="preserve"> conclusion] also </w:t>
      </w:r>
      <w:r w:rsidR="00AD6C15">
        <w:t xml:space="preserve">states </w:t>
      </w:r>
      <w:r w:rsidR="00637D10">
        <w:t xml:space="preserve">that when the boy was in hospital his mother called and said that because of </w:t>
      </w:r>
      <w:r w:rsidR="00D11771">
        <w:t>her son</w:t>
      </w:r>
      <w:r w:rsidR="00CE66E6">
        <w:t>’</w:t>
      </w:r>
      <w:r w:rsidR="00D11771">
        <w:t xml:space="preserve">s </w:t>
      </w:r>
      <w:r w:rsidR="00637D10">
        <w:t xml:space="preserve">behaviour she refused to come for </w:t>
      </w:r>
      <w:r w:rsidR="009906A3">
        <w:t>consultations</w:t>
      </w:r>
      <w:r w:rsidR="00637D10">
        <w:t xml:space="preserve">. When the boy was released from the hospital he was supposed to go to </w:t>
      </w:r>
      <w:r w:rsidR="00D11771">
        <w:t xml:space="preserve">visit </w:t>
      </w:r>
      <w:r w:rsidR="00637D10">
        <w:t xml:space="preserve">a farmhouse with his mother and other children. When the boy arrived at the farmhouse, he found </w:t>
      </w:r>
      <w:r w:rsidR="00D11771">
        <w:t>his mother</w:t>
      </w:r>
      <w:r w:rsidR="00CE66E6">
        <w:t>’</w:t>
      </w:r>
      <w:r w:rsidR="00D11771">
        <w:t>s</w:t>
      </w:r>
      <w:r w:rsidR="00637D10">
        <w:t xml:space="preserve"> current husband </w:t>
      </w:r>
      <w:r w:rsidR="00D11771">
        <w:t xml:space="preserve">there </w:t>
      </w:r>
      <w:r w:rsidR="00637D10">
        <w:t xml:space="preserve">and </w:t>
      </w:r>
      <w:r w:rsidR="00D11771">
        <w:t xml:space="preserve">became </w:t>
      </w:r>
      <w:r w:rsidR="00637D10">
        <w:t>agitated. A conflict arose and the mother</w:t>
      </w:r>
      <w:r w:rsidR="00CE66E6">
        <w:t>’</w:t>
      </w:r>
      <w:r w:rsidR="00637D10">
        <w:t>s husband hit the boy. After th</w:t>
      </w:r>
      <w:r w:rsidR="009906A3">
        <w:t xml:space="preserve">e child returned to hospital </w:t>
      </w:r>
      <w:r w:rsidR="00161877">
        <w:t>...</w:t>
      </w:r>
      <w:r w:rsidR="009906A3">
        <w:t xml:space="preserve"> the mother pulled the boy</w:t>
      </w:r>
      <w:r w:rsidR="00CE66E6">
        <w:t>’</w:t>
      </w:r>
      <w:r w:rsidR="009906A3">
        <w:t xml:space="preserve">s hair and bit him. The mother told the doctors that she had merely </w:t>
      </w:r>
      <w:r w:rsidR="00D11771">
        <w:t xml:space="preserve">been </w:t>
      </w:r>
      <w:r w:rsidR="009906A3">
        <w:t>defending herself from the child. In the near future the CWS employees will attend another court hearing, where it will be decided with whom the boy should live</w:t>
      </w:r>
      <w:r w:rsidR="005933AE">
        <w:t>.</w:t>
      </w:r>
      <w:r w:rsidR="009906A3">
        <w:t>”</w:t>
      </w:r>
    </w:p>
    <w:p w:rsidR="00404F2A" w:rsidRDefault="009520B5" w:rsidP="0039636F">
      <w:pPr>
        <w:pStyle w:val="JuPara"/>
      </w:pPr>
      <w:r>
        <w:t xml:space="preserve"> </w:t>
      </w:r>
      <w:r w:rsidR="00C40812">
        <w:fldChar w:fldCharType="begin"/>
      </w:r>
      <w:r w:rsidR="005E2C52">
        <w:instrText xml:space="preserve"> SEQ level0 \*arabic </w:instrText>
      </w:r>
      <w:r w:rsidR="00C40812">
        <w:fldChar w:fldCharType="separate"/>
      </w:r>
      <w:r w:rsidR="006E0C02">
        <w:rPr>
          <w:noProof/>
        </w:rPr>
        <w:t>14</w:t>
      </w:r>
      <w:r w:rsidR="00C40812">
        <w:fldChar w:fldCharType="end"/>
      </w:r>
      <w:r w:rsidR="005E2C52">
        <w:t>.  </w:t>
      </w:r>
      <w:r w:rsidR="005E2C52">
        <w:rPr>
          <w:szCs w:val="24"/>
        </w:rPr>
        <w:t xml:space="preserve">The </w:t>
      </w:r>
      <w:r w:rsidR="005E2C52">
        <w:t>article did not mention any names</w:t>
      </w:r>
      <w:r w:rsidR="00CD3381">
        <w:t xml:space="preserve"> or disclose the place of </w:t>
      </w:r>
      <w:r w:rsidR="001014F5">
        <w:t xml:space="preserve">residence </w:t>
      </w:r>
      <w:r w:rsidR="00CD3381">
        <w:t>of any of the persons mentioned</w:t>
      </w:r>
      <w:r w:rsidR="005E2C52">
        <w:t>.</w:t>
      </w:r>
    </w:p>
    <w:p w:rsidR="003856BB" w:rsidRDefault="00C40812" w:rsidP="0039636F">
      <w:pPr>
        <w:pStyle w:val="JuPara"/>
      </w:pPr>
      <w:r>
        <w:fldChar w:fldCharType="begin"/>
      </w:r>
      <w:r w:rsidR="005025D3">
        <w:instrText xml:space="preserve"> SEQ level0 \*arabic </w:instrText>
      </w:r>
      <w:r>
        <w:fldChar w:fldCharType="separate"/>
      </w:r>
      <w:r w:rsidR="006E0C02">
        <w:rPr>
          <w:noProof/>
        </w:rPr>
        <w:t>15</w:t>
      </w:r>
      <w:r>
        <w:fldChar w:fldCharType="end"/>
      </w:r>
      <w:r w:rsidR="005025D3">
        <w:t>.  </w:t>
      </w:r>
      <w:r w:rsidR="00F84604">
        <w:t>On 15</w:t>
      </w:r>
      <w:r w:rsidR="000568B5">
        <w:t> </w:t>
      </w:r>
      <w:r w:rsidR="00F84604">
        <w:t>June</w:t>
      </w:r>
      <w:r w:rsidR="000568B5">
        <w:t> </w:t>
      </w:r>
      <w:r w:rsidR="00F84604">
        <w:t>2001</w:t>
      </w:r>
      <w:r w:rsidR="001014F5">
        <w:t>,</w:t>
      </w:r>
      <w:r w:rsidR="00E11C96">
        <w:t xml:space="preserve"> </w:t>
      </w:r>
      <w:r w:rsidR="00F84604">
        <w:t xml:space="preserve">in reply to </w:t>
      </w:r>
      <w:r w:rsidR="00D11771">
        <w:t xml:space="preserve">a complaint by </w:t>
      </w:r>
      <w:r w:rsidR="00F84604">
        <w:t xml:space="preserve">the applicant about the </w:t>
      </w:r>
      <w:r w:rsidR="00CD3381">
        <w:t xml:space="preserve">actions </w:t>
      </w:r>
      <w:r w:rsidR="001014F5">
        <w:t xml:space="preserve">of the </w:t>
      </w:r>
      <w:r w:rsidR="00F84604">
        <w:t>CWS</w:t>
      </w:r>
      <w:r w:rsidR="00CE66E6">
        <w:t>’</w:t>
      </w:r>
      <w:r w:rsidR="00F84604">
        <w:t>s employees</w:t>
      </w:r>
      <w:r w:rsidR="00CD3381">
        <w:t xml:space="preserve"> in the context of </w:t>
      </w:r>
      <w:r w:rsidR="00D11771">
        <w:t xml:space="preserve">the </w:t>
      </w:r>
      <w:r w:rsidR="00CD3381">
        <w:t>custody proceedings</w:t>
      </w:r>
      <w:r w:rsidR="00F84604">
        <w:t xml:space="preserve">, the </w:t>
      </w:r>
      <w:r w:rsidR="001014F5">
        <w:t>Childre</w:t>
      </w:r>
      <w:r w:rsidR="00D11771">
        <w:t>n</w:t>
      </w:r>
      <w:r w:rsidR="00CE66E6">
        <w:t>’</w:t>
      </w:r>
      <w:r w:rsidR="001014F5">
        <w:t xml:space="preserve">s </w:t>
      </w:r>
      <w:r w:rsidR="00F84604">
        <w:t>Rights Ombudsman wrote</w:t>
      </w:r>
      <w:r w:rsidR="003856BB">
        <w:t>:</w:t>
      </w:r>
    </w:p>
    <w:p w:rsidR="008E4A11" w:rsidRDefault="003856BB" w:rsidP="0039636F">
      <w:pPr>
        <w:pStyle w:val="JuQuot"/>
      </w:pPr>
      <w:r>
        <w:t>“</w:t>
      </w:r>
      <w:r w:rsidR="00161877">
        <w:t>...</w:t>
      </w:r>
      <w:r>
        <w:t xml:space="preserve"> </w:t>
      </w:r>
      <w:r w:rsidR="00CD3381">
        <w:t xml:space="preserve">the </w:t>
      </w:r>
      <w:r w:rsidR="00F84604">
        <w:t xml:space="preserve">CWS employees did not take all steps to protect </w:t>
      </w:r>
      <w:r>
        <w:t>the boy</w:t>
      </w:r>
      <w:r w:rsidR="00CE66E6">
        <w:t>’</w:t>
      </w:r>
      <w:r>
        <w:t>s</w:t>
      </w:r>
      <w:r w:rsidR="00F84604">
        <w:t xml:space="preserve"> interests</w:t>
      </w:r>
      <w:r w:rsidR="00D11771">
        <w:t xml:space="preserve"> </w:t>
      </w:r>
      <w:r w:rsidR="00161877">
        <w:t>...</w:t>
      </w:r>
      <w:r w:rsidR="00F84604">
        <w:t xml:space="preserve"> That being so, </w:t>
      </w:r>
      <w:r w:rsidR="00D11771">
        <w:t>besides</w:t>
      </w:r>
      <w:r w:rsidR="00F84604">
        <w:t xml:space="preserve"> </w:t>
      </w:r>
      <w:r w:rsidR="00827F1B">
        <w:t xml:space="preserve">psychological </w:t>
      </w:r>
      <w:r w:rsidR="00F84604">
        <w:t>pressure from his father</w:t>
      </w:r>
      <w:r w:rsidR="00D11771">
        <w:t xml:space="preserve"> </w:t>
      </w:r>
      <w:r w:rsidR="00161877">
        <w:t>...</w:t>
      </w:r>
      <w:r w:rsidR="00F84604">
        <w:t xml:space="preserve"> the child was negatively influenced by his mother</w:t>
      </w:r>
      <w:r w:rsidR="00CE66E6">
        <w:t>’</w:t>
      </w:r>
      <w:r w:rsidR="00F84604">
        <w:t xml:space="preserve">s </w:t>
      </w:r>
      <w:r w:rsidR="00E11C96">
        <w:t>[</w:t>
      </w:r>
      <w:r w:rsidR="00F84604">
        <w:t>the applicant</w:t>
      </w:r>
      <w:r w:rsidR="00CE66E6">
        <w:t>’</w:t>
      </w:r>
      <w:r w:rsidR="00F84604">
        <w:t>s</w:t>
      </w:r>
      <w:r w:rsidR="00E11C96">
        <w:t>]</w:t>
      </w:r>
      <w:r w:rsidR="00F84604">
        <w:t xml:space="preserve"> actions.</w:t>
      </w:r>
      <w:r w:rsidR="008E4A11">
        <w:t xml:space="preserve"> On this point the Ombudsman </w:t>
      </w:r>
      <w:r w:rsidR="00564F38">
        <w:t>refers</w:t>
      </w:r>
      <w:r w:rsidR="008E4A11">
        <w:t xml:space="preserve"> to </w:t>
      </w:r>
      <w:r w:rsidR="00D11771">
        <w:t>a</w:t>
      </w:r>
      <w:r w:rsidR="008E4A11">
        <w:t xml:space="preserve"> trip</w:t>
      </w:r>
      <w:r w:rsidR="00D11771">
        <w:t xml:space="preserve"> [with her son]</w:t>
      </w:r>
      <w:r w:rsidR="008E4A11">
        <w:t xml:space="preserve"> </w:t>
      </w:r>
      <w:r w:rsidR="00D11771">
        <w:t xml:space="preserve">on </w:t>
      </w:r>
      <w:r w:rsidR="008E4A11">
        <w:t xml:space="preserve">which the mother, in breach of recommendations by the doctors, brought her current husband, thus </w:t>
      </w:r>
      <w:r w:rsidR="00D11771">
        <w:t xml:space="preserve">provoking a </w:t>
      </w:r>
      <w:r w:rsidR="008E4A11">
        <w:t>negative reaction from her son</w:t>
      </w:r>
      <w:r w:rsidR="00D11771">
        <w:t xml:space="preserve"> </w:t>
      </w:r>
      <w:r w:rsidR="00161877">
        <w:t>...</w:t>
      </w:r>
      <w:r w:rsidR="008E4A11">
        <w:t xml:space="preserve"> The relations between the applicant and her son, which were </w:t>
      </w:r>
      <w:r w:rsidR="005A0083">
        <w:t>softening</w:t>
      </w:r>
      <w:r w:rsidR="008E4A11">
        <w:t>, broke</w:t>
      </w:r>
      <w:r w:rsidR="005A0083">
        <w:t xml:space="preserve"> down</w:t>
      </w:r>
      <w:r w:rsidR="008E4A11">
        <w:t xml:space="preserve">. The son categorically refused to communicate with his mother. </w:t>
      </w:r>
      <w:r>
        <w:t>At a meeting held soon afterwards</w:t>
      </w:r>
      <w:r w:rsidR="00827F1B">
        <w:t xml:space="preserve"> at the Child Development Centre</w:t>
      </w:r>
      <w:r>
        <w:t xml:space="preserve">, </w:t>
      </w:r>
      <w:r w:rsidR="008E4A11">
        <w:t>it was decided that the child</w:t>
      </w:r>
      <w:r>
        <w:t xml:space="preserve">, </w:t>
      </w:r>
      <w:r w:rsidR="005A0083">
        <w:t xml:space="preserve">at </w:t>
      </w:r>
      <w:r>
        <w:t>his</w:t>
      </w:r>
      <w:r w:rsidR="005A0083">
        <w:t xml:space="preserve"> own</w:t>
      </w:r>
      <w:r>
        <w:t xml:space="preserve"> request,</w:t>
      </w:r>
      <w:r w:rsidR="008E4A11">
        <w:t xml:space="preserve"> should leave the hospital with </w:t>
      </w:r>
      <w:r w:rsidR="005A0083">
        <w:t xml:space="preserve">his </w:t>
      </w:r>
      <w:r w:rsidR="008E4A11">
        <w:t xml:space="preserve">father and </w:t>
      </w:r>
      <w:r>
        <w:t>go to a sanatorium. After th</w:t>
      </w:r>
      <w:r w:rsidR="005A0083">
        <w:t>at</w:t>
      </w:r>
      <w:r>
        <w:t xml:space="preserve"> decision </w:t>
      </w:r>
      <w:r w:rsidR="005A0083">
        <w:t>was</w:t>
      </w:r>
      <w:r>
        <w:t xml:space="preserve"> taken, the mother started pulling </w:t>
      </w:r>
      <w:r w:rsidR="005933AE">
        <w:t xml:space="preserve">the </w:t>
      </w:r>
      <w:r>
        <w:t>boy</w:t>
      </w:r>
      <w:r w:rsidR="00CE66E6">
        <w:t>’</w:t>
      </w:r>
      <w:r>
        <w:t>s hair and bit him (</w:t>
      </w:r>
      <w:r w:rsidR="005A0083">
        <w:t xml:space="preserve">she </w:t>
      </w:r>
      <w:r>
        <w:t>afterwards claimed self-defence).</w:t>
      </w:r>
      <w:r w:rsidR="00827F1B">
        <w:t>”</w:t>
      </w:r>
    </w:p>
    <w:p w:rsidR="00404F2A" w:rsidRDefault="00C40812" w:rsidP="0039636F">
      <w:pPr>
        <w:pStyle w:val="JuPara"/>
      </w:pPr>
      <w:r>
        <w:fldChar w:fldCharType="begin"/>
      </w:r>
      <w:r w:rsidR="00827F1B">
        <w:instrText xml:space="preserve"> SEQ level0 \*arabic </w:instrText>
      </w:r>
      <w:r>
        <w:fldChar w:fldCharType="separate"/>
      </w:r>
      <w:r w:rsidR="006E0C02">
        <w:rPr>
          <w:noProof/>
        </w:rPr>
        <w:t>16</w:t>
      </w:r>
      <w:r>
        <w:fldChar w:fldCharType="end"/>
      </w:r>
      <w:r w:rsidR="00827F1B">
        <w:t xml:space="preserve">.  In </w:t>
      </w:r>
      <w:r w:rsidR="005933AE">
        <w:t>the</w:t>
      </w:r>
      <w:r w:rsidR="00827F1B">
        <w:t xml:space="preserve"> </w:t>
      </w:r>
      <w:r w:rsidR="00E96F0E">
        <w:t>report</w:t>
      </w:r>
      <w:r w:rsidR="00827F1B">
        <w:t xml:space="preserve"> the Ombudsman </w:t>
      </w:r>
      <w:r w:rsidR="00377160">
        <w:t>urged the CWS to use all the powers provided by law to help resolv</w:t>
      </w:r>
      <w:r w:rsidR="001014F5">
        <w:t>e</w:t>
      </w:r>
      <w:r w:rsidR="00377160">
        <w:t xml:space="preserve"> </w:t>
      </w:r>
      <w:r w:rsidR="005A0083">
        <w:t xml:space="preserve">these </w:t>
      </w:r>
      <w:r w:rsidR="00377160">
        <w:t>child</w:t>
      </w:r>
      <w:r w:rsidR="001014F5">
        <w:t>-</w:t>
      </w:r>
      <w:r w:rsidR="00377160">
        <w:t>rights issues. The applicant</w:t>
      </w:r>
      <w:r w:rsidR="00CE66E6">
        <w:t>’</w:t>
      </w:r>
      <w:r w:rsidR="00377160">
        <w:t xml:space="preserve">s former husband was warned not to obstruct his son </w:t>
      </w:r>
      <w:r w:rsidR="001014F5">
        <w:t xml:space="preserve">in </w:t>
      </w:r>
      <w:r w:rsidR="00377160">
        <w:t>communicat</w:t>
      </w:r>
      <w:r w:rsidR="001014F5">
        <w:t>ing</w:t>
      </w:r>
      <w:r w:rsidR="00377160">
        <w:t xml:space="preserve"> with his mother and other children.</w:t>
      </w:r>
    </w:p>
    <w:p w:rsidR="005025D3" w:rsidRDefault="00377160" w:rsidP="0039636F">
      <w:pPr>
        <w:pStyle w:val="JuPara"/>
      </w:pPr>
      <w:r>
        <w:t xml:space="preserve">The </w:t>
      </w:r>
      <w:r w:rsidR="001D76EB">
        <w:t>applicant was warned to respect her son</w:t>
      </w:r>
      <w:r w:rsidR="00CE66E6">
        <w:t>’</w:t>
      </w:r>
      <w:r w:rsidR="001D76EB">
        <w:t xml:space="preserve">s </w:t>
      </w:r>
      <w:r w:rsidR="00AD6C15">
        <w:t xml:space="preserve">wishes </w:t>
      </w:r>
      <w:r w:rsidR="001D76EB">
        <w:t>when question</w:t>
      </w:r>
      <w:r w:rsidR="001014F5">
        <w:t>ed about</w:t>
      </w:r>
      <w:r w:rsidR="001D76EB">
        <w:t xml:space="preserve"> his place of residence or </w:t>
      </w:r>
      <w:r w:rsidR="00256A5B">
        <w:t xml:space="preserve">her </w:t>
      </w:r>
      <w:r w:rsidR="001D76EB">
        <w:t>communication</w:t>
      </w:r>
      <w:r w:rsidR="00256A5B">
        <w:t>s</w:t>
      </w:r>
      <w:r w:rsidR="001D76EB">
        <w:t xml:space="preserve"> with </w:t>
      </w:r>
      <w:r w:rsidR="00256A5B">
        <w:t>him</w:t>
      </w:r>
      <w:r w:rsidR="001D76EB">
        <w:t xml:space="preserve">. Lastly, the Ombudsman </w:t>
      </w:r>
      <w:r w:rsidR="002975D0">
        <w:t>emphasised that “</w:t>
      </w:r>
      <w:r w:rsidR="00256A5B">
        <w:t>in</w:t>
      </w:r>
      <w:r w:rsidR="002975D0">
        <w:t xml:space="preserve"> making public through </w:t>
      </w:r>
      <w:r w:rsidR="00256A5B">
        <w:t xml:space="preserve">the </w:t>
      </w:r>
      <w:r w:rsidR="002975D0">
        <w:t>media information about her and her former husband</w:t>
      </w:r>
      <w:r w:rsidR="00CE66E6">
        <w:t>’</w:t>
      </w:r>
      <w:r w:rsidR="002975D0">
        <w:t>s relations</w:t>
      </w:r>
      <w:r w:rsidR="00256A5B">
        <w:t>hip</w:t>
      </w:r>
      <w:r w:rsidR="002975D0">
        <w:t xml:space="preserve">, his character, </w:t>
      </w:r>
      <w:r w:rsidR="00AD6C15">
        <w:t xml:space="preserve">and </w:t>
      </w:r>
      <w:r w:rsidR="002975D0">
        <w:t>other information about her former family and her son</w:t>
      </w:r>
      <w:r w:rsidR="00CE66E6">
        <w:t>’</w:t>
      </w:r>
      <w:r w:rsidR="002975D0">
        <w:t xml:space="preserve">s characteristics, as a consequence of which the child </w:t>
      </w:r>
      <w:r w:rsidR="00AD6C15">
        <w:t xml:space="preserve">had </w:t>
      </w:r>
      <w:r w:rsidR="002975D0">
        <w:t>experience</w:t>
      </w:r>
      <w:r w:rsidR="005A0083">
        <w:t>d</w:t>
      </w:r>
      <w:r w:rsidR="002975D0">
        <w:t xml:space="preserve"> negative reaction</w:t>
      </w:r>
      <w:r w:rsidR="00256A5B">
        <w:t>s</w:t>
      </w:r>
      <w:r w:rsidR="002975D0">
        <w:t xml:space="preserve"> from others and </w:t>
      </w:r>
      <w:r w:rsidR="005A0083">
        <w:t xml:space="preserve">could not </w:t>
      </w:r>
      <w:r w:rsidR="002975D0">
        <w:t>freely communicate with children of his</w:t>
      </w:r>
      <w:r w:rsidR="00256A5B">
        <w:t xml:space="preserve"> own</w:t>
      </w:r>
      <w:r w:rsidR="002975D0">
        <w:t xml:space="preserve"> age, the applicant </w:t>
      </w:r>
      <w:r w:rsidR="00AD6C15">
        <w:t xml:space="preserve">had </w:t>
      </w:r>
      <w:r w:rsidR="002975D0">
        <w:t>breache</w:t>
      </w:r>
      <w:r w:rsidR="005A0083">
        <w:t>d</w:t>
      </w:r>
      <w:r w:rsidR="002975D0">
        <w:t xml:space="preserve"> her son</w:t>
      </w:r>
      <w:r w:rsidR="00CE66E6">
        <w:t>’</w:t>
      </w:r>
      <w:r w:rsidR="002975D0">
        <w:t xml:space="preserve">s right to private life, </w:t>
      </w:r>
      <w:r w:rsidR="00256A5B">
        <w:t xml:space="preserve">the </w:t>
      </w:r>
      <w:r w:rsidR="002975D0">
        <w:t>inviolability of his person and his freedom</w:t>
      </w:r>
      <w:r w:rsidR="00256A5B">
        <w:t>”</w:t>
      </w:r>
      <w:r w:rsidR="002975D0">
        <w:t>.</w:t>
      </w:r>
    </w:p>
    <w:p w:rsidR="00CB5FFD" w:rsidRDefault="00C40812" w:rsidP="0039636F">
      <w:pPr>
        <w:pStyle w:val="JuPara"/>
      </w:pPr>
      <w:r>
        <w:fldChar w:fldCharType="begin"/>
      </w:r>
      <w:r w:rsidR="00CB5FFD">
        <w:instrText xml:space="preserve"> SEQ level0 \*arabic </w:instrText>
      </w:r>
      <w:r>
        <w:fldChar w:fldCharType="separate"/>
      </w:r>
      <w:r w:rsidR="006E0C02">
        <w:rPr>
          <w:noProof/>
        </w:rPr>
        <w:t>17</w:t>
      </w:r>
      <w:r>
        <w:fldChar w:fldCharType="end"/>
      </w:r>
      <w:r w:rsidR="00CB5FFD">
        <w:t>.  The applicant submit</w:t>
      </w:r>
      <w:r w:rsidR="00825410">
        <w:t>s</w:t>
      </w:r>
      <w:r w:rsidR="00CB5FFD">
        <w:t xml:space="preserve"> that on </w:t>
      </w:r>
      <w:r w:rsidR="00397A66">
        <w:t>18</w:t>
      </w:r>
      <w:r w:rsidR="00CB5FFD">
        <w:t> June</w:t>
      </w:r>
      <w:r w:rsidR="000568B5">
        <w:t> </w:t>
      </w:r>
      <w:r w:rsidR="00CB5FFD">
        <w:t xml:space="preserve">2001 </w:t>
      </w:r>
      <w:r w:rsidR="00CB5FFD" w:rsidRPr="00256A5B">
        <w:rPr>
          <w:i/>
        </w:rPr>
        <w:t>Lietuvos Aidas</w:t>
      </w:r>
      <w:r w:rsidR="00CB5FFD">
        <w:t xml:space="preserve"> published an apology</w:t>
      </w:r>
      <w:r w:rsidR="00421044">
        <w:t xml:space="preserve"> </w:t>
      </w:r>
      <w:r w:rsidR="005A0083">
        <w:t>in respect of</w:t>
      </w:r>
      <w:r w:rsidR="00421044">
        <w:t xml:space="preserve"> the article of 15</w:t>
      </w:r>
      <w:r w:rsidR="000568B5">
        <w:t> </w:t>
      </w:r>
      <w:r w:rsidR="00421044">
        <w:t>June 2001.</w:t>
      </w:r>
    </w:p>
    <w:p w:rsidR="00CB5FFD" w:rsidRDefault="00C40812" w:rsidP="0039636F">
      <w:pPr>
        <w:pStyle w:val="JuPara"/>
      </w:pPr>
      <w:r>
        <w:fldChar w:fldCharType="begin"/>
      </w:r>
      <w:r w:rsidR="00D70533">
        <w:instrText xml:space="preserve"> SEQ level0 \*arabic </w:instrText>
      </w:r>
      <w:r>
        <w:fldChar w:fldCharType="separate"/>
      </w:r>
      <w:r w:rsidR="006E0C02">
        <w:rPr>
          <w:noProof/>
        </w:rPr>
        <w:t>18</w:t>
      </w:r>
      <w:r>
        <w:fldChar w:fldCharType="end"/>
      </w:r>
      <w:r w:rsidR="00D70533">
        <w:t xml:space="preserve">.  On 4 September 2001, and </w:t>
      </w:r>
      <w:r w:rsidR="005A0083">
        <w:t>at the</w:t>
      </w:r>
      <w:r w:rsidR="00D70533">
        <w:t xml:space="preserve"> request </w:t>
      </w:r>
      <w:r w:rsidR="005A0083">
        <w:t xml:space="preserve">of </w:t>
      </w:r>
      <w:r w:rsidR="00D70533">
        <w:t xml:space="preserve">the applicant, the director of the </w:t>
      </w:r>
      <w:r w:rsidR="00825410">
        <w:t xml:space="preserve">Vilnius Child Development Centre </w:t>
      </w:r>
      <w:r w:rsidR="00D70533">
        <w:t xml:space="preserve">informed </w:t>
      </w:r>
      <w:r w:rsidR="00256A5B">
        <w:t>her</w:t>
      </w:r>
      <w:r w:rsidR="00D70533">
        <w:t xml:space="preserve"> that the CWS had acted unethically </w:t>
      </w:r>
      <w:r w:rsidR="00256A5B">
        <w:t xml:space="preserve">in </w:t>
      </w:r>
      <w:r w:rsidR="0009787B">
        <w:t>disclosing the applicant</w:t>
      </w:r>
      <w:r w:rsidR="00CE66E6">
        <w:t>’</w:t>
      </w:r>
      <w:r w:rsidR="0009787B">
        <w:t>s son</w:t>
      </w:r>
      <w:r w:rsidR="00CE66E6">
        <w:t>’</w:t>
      </w:r>
      <w:r w:rsidR="0009787B">
        <w:t xml:space="preserve">s medical records in the </w:t>
      </w:r>
      <w:r w:rsidR="005F52D3">
        <w:t xml:space="preserve">article </w:t>
      </w:r>
      <w:r w:rsidR="0009787B">
        <w:t>of 15 June</w:t>
      </w:r>
      <w:r w:rsidR="000568B5">
        <w:t> </w:t>
      </w:r>
      <w:r w:rsidR="0009787B">
        <w:t>2001.</w:t>
      </w:r>
    </w:p>
    <w:p w:rsidR="005A0083" w:rsidRDefault="00C40812" w:rsidP="0039636F">
      <w:pPr>
        <w:pStyle w:val="JuPara"/>
      </w:pPr>
      <w:r>
        <w:fldChar w:fldCharType="begin"/>
      </w:r>
      <w:r w:rsidR="00CB5FFD">
        <w:instrText xml:space="preserve"> SEQ level0 \*arabic </w:instrText>
      </w:r>
      <w:r>
        <w:fldChar w:fldCharType="separate"/>
      </w:r>
      <w:r w:rsidR="006E0C02">
        <w:rPr>
          <w:noProof/>
        </w:rPr>
        <w:t>19</w:t>
      </w:r>
      <w:r>
        <w:fldChar w:fldCharType="end"/>
      </w:r>
      <w:r w:rsidR="00CB5FFD">
        <w:t>.  </w:t>
      </w:r>
      <w:r w:rsidR="004D6B69">
        <w:t>T</w:t>
      </w:r>
      <w:r w:rsidR="00CB5FFD">
        <w:t xml:space="preserve">he applicant lodged a complaint </w:t>
      </w:r>
      <w:r w:rsidR="00256A5B">
        <w:t xml:space="preserve">with </w:t>
      </w:r>
      <w:r w:rsidR="00CB5FFD">
        <w:t xml:space="preserve">the Inspector of Journalistic Ethics, who </w:t>
      </w:r>
      <w:r w:rsidR="005A0083">
        <w:t>gave</w:t>
      </w:r>
      <w:r w:rsidR="00CB5FFD">
        <w:t xml:space="preserve"> </w:t>
      </w:r>
      <w:r w:rsidR="00256A5B" w:rsidRPr="00F6796A">
        <w:t>his</w:t>
      </w:r>
      <w:r w:rsidR="00256A5B">
        <w:t xml:space="preserve"> </w:t>
      </w:r>
      <w:r w:rsidR="00CB5FFD">
        <w:t>decision on 11</w:t>
      </w:r>
      <w:r w:rsidR="000568B5">
        <w:t> </w:t>
      </w:r>
      <w:r w:rsidR="00CB5FFD">
        <w:t>October</w:t>
      </w:r>
      <w:r w:rsidR="000568B5">
        <w:t> </w:t>
      </w:r>
      <w:r w:rsidR="00CB5FFD">
        <w:t xml:space="preserve">2001. </w:t>
      </w:r>
      <w:r w:rsidR="005A0083">
        <w:t>In his decision t</w:t>
      </w:r>
      <w:r w:rsidR="00CB5FFD">
        <w:t>he Inspector warn</w:t>
      </w:r>
      <w:r w:rsidR="005A0083">
        <w:t>ed</w:t>
      </w:r>
      <w:r w:rsidR="00CB5FFD">
        <w:t xml:space="preserve"> the editors of </w:t>
      </w:r>
      <w:r w:rsidR="00CB5FFD" w:rsidRPr="00256A5B">
        <w:rPr>
          <w:i/>
        </w:rPr>
        <w:t>Lietuvos Aidas</w:t>
      </w:r>
      <w:r w:rsidR="005A0083">
        <w:t xml:space="preserve"> as follows:</w:t>
      </w:r>
    </w:p>
    <w:p w:rsidR="00CB5FFD" w:rsidRDefault="00CB5FFD" w:rsidP="0039636F">
      <w:pPr>
        <w:pStyle w:val="JuQuot"/>
      </w:pPr>
      <w:r>
        <w:t>“</w:t>
      </w:r>
      <w:r w:rsidR="005A0083">
        <w:t xml:space="preserve">[The article of 15 June 2001] </w:t>
      </w:r>
      <w:r>
        <w:t>contain</w:t>
      </w:r>
      <w:r w:rsidR="004D6B69">
        <w:t>ed</w:t>
      </w:r>
      <w:r>
        <w:t xml:space="preserve"> certain statements that </w:t>
      </w:r>
      <w:r w:rsidR="004D6B69">
        <w:t>could</w:t>
      </w:r>
      <w:r>
        <w:t xml:space="preserve"> be assessed as breaching the honour and dignity of [the applicant]. Although the article </w:t>
      </w:r>
      <w:r w:rsidR="004D6B69">
        <w:t>sought</w:t>
      </w:r>
      <w:r>
        <w:t xml:space="preserve"> to </w:t>
      </w:r>
      <w:r w:rsidR="00256A5B">
        <w:t>give the</w:t>
      </w:r>
      <w:r>
        <w:t xml:space="preserve"> impression that anonymity </w:t>
      </w:r>
      <w:r w:rsidR="00256A5B">
        <w:t>wa</w:t>
      </w:r>
      <w:r>
        <w:t xml:space="preserve">s being maintained, </w:t>
      </w:r>
      <w:r w:rsidR="00256A5B">
        <w:t>in</w:t>
      </w:r>
      <w:r>
        <w:t xml:space="preserve"> fact, the applicant </w:t>
      </w:r>
      <w:r w:rsidR="004D6B69">
        <w:t>wa</w:t>
      </w:r>
      <w:r>
        <w:t xml:space="preserve">s recognisable; moreover, her actions and life choices </w:t>
      </w:r>
      <w:r w:rsidR="004D6B69">
        <w:t>we</w:t>
      </w:r>
      <w:r>
        <w:t>re described one-sidedly, seeking to create a negative image</w:t>
      </w:r>
      <w:r w:rsidR="005933AE">
        <w:t>.</w:t>
      </w:r>
      <w:r>
        <w:t>”</w:t>
      </w:r>
    </w:p>
    <w:p w:rsidR="00B37211" w:rsidRDefault="00C40812" w:rsidP="0039636F">
      <w:pPr>
        <w:pStyle w:val="JuPara"/>
      </w:pPr>
      <w:r>
        <w:fldChar w:fldCharType="begin"/>
      </w:r>
      <w:r w:rsidR="00F95909">
        <w:instrText xml:space="preserve"> SEQ level0 \*arabic </w:instrText>
      </w:r>
      <w:r>
        <w:fldChar w:fldCharType="separate"/>
      </w:r>
      <w:r w:rsidR="006E0C02">
        <w:rPr>
          <w:noProof/>
        </w:rPr>
        <w:t>20</w:t>
      </w:r>
      <w:r>
        <w:fldChar w:fldCharType="end"/>
      </w:r>
      <w:r w:rsidR="00F95909">
        <w:t>.  </w:t>
      </w:r>
      <w:r w:rsidR="00B37211">
        <w:t>The applicant brought an action for damages against the C</w:t>
      </w:r>
      <w:r w:rsidR="004D6B69">
        <w:t>WS</w:t>
      </w:r>
      <w:r w:rsidR="00B37211">
        <w:t xml:space="preserve">. She complained about the disclosure to journalists of information regarding her private life and the health of her minor son. </w:t>
      </w:r>
      <w:r w:rsidR="00F30671">
        <w:t>The applicant claimed 50,000</w:t>
      </w:r>
      <w:r w:rsidR="000568B5">
        <w:t> </w:t>
      </w:r>
      <w:r w:rsidR="00F30671">
        <w:t>Lithuanian litai (</w:t>
      </w:r>
      <w:r w:rsidR="005A0083">
        <w:t xml:space="preserve">approximately </w:t>
      </w:r>
      <w:r w:rsidR="00F30671">
        <w:t>14,480</w:t>
      </w:r>
      <w:r w:rsidR="000568B5">
        <w:t> </w:t>
      </w:r>
      <w:r w:rsidR="00F30671">
        <w:t xml:space="preserve">euros) as </w:t>
      </w:r>
      <w:r w:rsidR="00BB1F51">
        <w:t>compensation</w:t>
      </w:r>
      <w:r w:rsidR="00F30671">
        <w:t xml:space="preserve"> </w:t>
      </w:r>
      <w:r w:rsidR="00BB1F51">
        <w:t>for</w:t>
      </w:r>
      <w:r w:rsidR="00F30671">
        <w:t xml:space="preserve"> non-pecuniary damage.</w:t>
      </w:r>
    </w:p>
    <w:p w:rsidR="00404F2A" w:rsidRDefault="00C40812" w:rsidP="0039636F">
      <w:pPr>
        <w:pStyle w:val="JuPara"/>
      </w:pPr>
      <w:r>
        <w:fldChar w:fldCharType="begin"/>
      </w:r>
      <w:r w:rsidR="0090436C">
        <w:instrText xml:space="preserve"> SEQ level0 \*arabic </w:instrText>
      </w:r>
      <w:r>
        <w:fldChar w:fldCharType="separate"/>
      </w:r>
      <w:r w:rsidR="006E0C02">
        <w:rPr>
          <w:noProof/>
        </w:rPr>
        <w:t>21</w:t>
      </w:r>
      <w:r>
        <w:fldChar w:fldCharType="end"/>
      </w:r>
      <w:r w:rsidR="0090436C">
        <w:t xml:space="preserve">.  On 7 May 2002 the applicant asked the Vilnius City Second </w:t>
      </w:r>
      <w:r w:rsidR="00AD2854">
        <w:t>D</w:t>
      </w:r>
      <w:r w:rsidR="0090436C">
        <w:t xml:space="preserve">istrict Court </w:t>
      </w:r>
      <w:r w:rsidR="00133B7F">
        <w:t xml:space="preserve">to summon </w:t>
      </w:r>
      <w:r w:rsidR="0090436C">
        <w:t xml:space="preserve">three witnesses who </w:t>
      </w:r>
      <w:r w:rsidR="00AD2854">
        <w:t xml:space="preserve">had </w:t>
      </w:r>
      <w:r w:rsidR="0090436C">
        <w:t xml:space="preserve">recognised </w:t>
      </w:r>
      <w:r w:rsidR="005A0083">
        <w:t>her</w:t>
      </w:r>
      <w:r w:rsidR="0090436C">
        <w:t xml:space="preserve"> from the information mentioned in the impugned article. </w:t>
      </w:r>
      <w:r w:rsidR="00DE589F">
        <w:t xml:space="preserve">Those witnesses were a private </w:t>
      </w:r>
      <w:r w:rsidR="00AD2854">
        <w:t xml:space="preserve">individual, </w:t>
      </w:r>
      <w:r w:rsidR="00DE589F">
        <w:t>R.V., the director of the Child Development Centre</w:t>
      </w:r>
      <w:r w:rsidR="00AD2854">
        <w:t>,</w:t>
      </w:r>
      <w:r w:rsidR="00DE589F">
        <w:t xml:space="preserve"> and a child psychiatrist </w:t>
      </w:r>
      <w:r w:rsidR="00AD2854">
        <w:t xml:space="preserve">from </w:t>
      </w:r>
      <w:r w:rsidR="00DE589F">
        <w:t>the Child Development Centre.</w:t>
      </w:r>
    </w:p>
    <w:p w:rsidR="00CF7CA4" w:rsidRDefault="00C40812" w:rsidP="0039636F">
      <w:pPr>
        <w:pStyle w:val="JuPara"/>
      </w:pPr>
      <w:r>
        <w:fldChar w:fldCharType="begin"/>
      </w:r>
      <w:r w:rsidR="00B37211">
        <w:instrText xml:space="preserve"> SEQ level0 \*arabic </w:instrText>
      </w:r>
      <w:r>
        <w:fldChar w:fldCharType="separate"/>
      </w:r>
      <w:r w:rsidR="006E0C02">
        <w:rPr>
          <w:noProof/>
        </w:rPr>
        <w:t>22</w:t>
      </w:r>
      <w:r>
        <w:fldChar w:fldCharType="end"/>
      </w:r>
      <w:r w:rsidR="00B37211">
        <w:t>.  </w:t>
      </w:r>
      <w:r w:rsidR="009520B5">
        <w:t>On 1</w:t>
      </w:r>
      <w:r w:rsidR="00263C00">
        <w:t>5</w:t>
      </w:r>
      <w:r w:rsidR="000568B5">
        <w:t> </w:t>
      </w:r>
      <w:r w:rsidR="00263C00">
        <w:t>December</w:t>
      </w:r>
      <w:r w:rsidR="000568B5">
        <w:t> </w:t>
      </w:r>
      <w:r w:rsidR="009520B5">
        <w:t>200</w:t>
      </w:r>
      <w:r w:rsidR="00263C00">
        <w:t>3</w:t>
      </w:r>
      <w:r w:rsidR="009520B5">
        <w:t xml:space="preserve"> the Vilnius City Second District Court dismissed the appl</w:t>
      </w:r>
      <w:r w:rsidR="00CF7CA4">
        <w:t>icant</w:t>
      </w:r>
      <w:r w:rsidR="00CE66E6">
        <w:t>’</w:t>
      </w:r>
      <w:r w:rsidR="00CF7CA4">
        <w:t>s action.</w:t>
      </w:r>
      <w:r w:rsidR="00263C00">
        <w:t xml:space="preserve"> </w:t>
      </w:r>
      <w:r w:rsidR="00F83825">
        <w:t>T</w:t>
      </w:r>
      <w:r w:rsidR="00263C00">
        <w:t xml:space="preserve">he court </w:t>
      </w:r>
      <w:r w:rsidR="00F83825">
        <w:t xml:space="preserve">found that </w:t>
      </w:r>
      <w:r w:rsidR="00263C00">
        <w:t xml:space="preserve">the </w:t>
      </w:r>
      <w:r w:rsidR="0039636F">
        <w:t xml:space="preserve">article </w:t>
      </w:r>
      <w:r w:rsidR="00263C00">
        <w:t>of 15 June</w:t>
      </w:r>
      <w:r w:rsidR="000568B5">
        <w:t> </w:t>
      </w:r>
      <w:r w:rsidR="00263C00">
        <w:t xml:space="preserve">2001 did not contain </w:t>
      </w:r>
      <w:r w:rsidR="00F83825">
        <w:t xml:space="preserve">any data </w:t>
      </w:r>
      <w:r w:rsidR="005A0083">
        <w:t xml:space="preserve">from which </w:t>
      </w:r>
      <w:r w:rsidR="00F83825">
        <w:t xml:space="preserve">the applicant could be identified. In particular, the article had not disclosed </w:t>
      </w:r>
      <w:r w:rsidR="00263C00">
        <w:t>the applicant</w:t>
      </w:r>
      <w:r w:rsidR="00CE66E6">
        <w:t>’</w:t>
      </w:r>
      <w:r w:rsidR="00263C00">
        <w:t>s first or family name, n</w:t>
      </w:r>
      <w:r w:rsidR="00AD2854">
        <w:t>o</w:t>
      </w:r>
      <w:r w:rsidR="00263C00">
        <w:t xml:space="preserve">r had it mentioned the </w:t>
      </w:r>
      <w:r w:rsidR="005A0083">
        <w:t>fore</w:t>
      </w:r>
      <w:r w:rsidR="00263C00">
        <w:t xml:space="preserve">names or surnames of her son, former spouse or current spouse. </w:t>
      </w:r>
      <w:r w:rsidR="005A0083">
        <w:t>Nor had any o</w:t>
      </w:r>
      <w:r w:rsidR="00263C00">
        <w:t xml:space="preserve">ther information that would allow </w:t>
      </w:r>
      <w:r w:rsidR="00FE2249">
        <w:t xml:space="preserve">the </w:t>
      </w:r>
      <w:r w:rsidR="00263C00">
        <w:t>identif</w:t>
      </w:r>
      <w:r w:rsidR="00FE2249">
        <w:t>ication of</w:t>
      </w:r>
      <w:r w:rsidR="00263C00">
        <w:t xml:space="preserve"> the applicant or </w:t>
      </w:r>
      <w:r w:rsidR="00FE2249">
        <w:t xml:space="preserve">the </w:t>
      </w:r>
      <w:r w:rsidR="00263C00">
        <w:t xml:space="preserve">other members of her </w:t>
      </w:r>
      <w:r w:rsidR="003D4B4A">
        <w:t>family </w:t>
      </w:r>
      <w:r w:rsidR="00263C00">
        <w:t>– her profession, place of work, occupation, appearance, place of residence –</w:t>
      </w:r>
      <w:r w:rsidR="00B64422">
        <w:t xml:space="preserve"> </w:t>
      </w:r>
      <w:r w:rsidR="00263C00">
        <w:t>been m</w:t>
      </w:r>
      <w:r w:rsidR="00F83825">
        <w:t>entioned in the article.</w:t>
      </w:r>
      <w:r w:rsidR="00C50E9E">
        <w:t xml:space="preserve"> It followed that the applicant had failed to prove that the CWS had deliberately disclosed information about the applicant</w:t>
      </w:r>
      <w:r w:rsidR="00CE66E6">
        <w:t>’</w:t>
      </w:r>
      <w:r w:rsidR="00C50E9E">
        <w:t>s private life.</w:t>
      </w:r>
    </w:p>
    <w:p w:rsidR="003E636F" w:rsidRDefault="00C40812" w:rsidP="0039636F">
      <w:pPr>
        <w:pStyle w:val="JuPara"/>
      </w:pPr>
      <w:r>
        <w:fldChar w:fldCharType="begin"/>
      </w:r>
      <w:r w:rsidR="00CF7CA4">
        <w:instrText xml:space="preserve"> SEQ level0 \*arabic </w:instrText>
      </w:r>
      <w:r>
        <w:fldChar w:fldCharType="separate"/>
      </w:r>
      <w:r w:rsidR="006E0C02">
        <w:rPr>
          <w:noProof/>
        </w:rPr>
        <w:t>23</w:t>
      </w:r>
      <w:r>
        <w:fldChar w:fldCharType="end"/>
      </w:r>
      <w:r w:rsidR="00CF7CA4">
        <w:t>.  </w:t>
      </w:r>
      <w:r w:rsidR="009520B5">
        <w:t xml:space="preserve">That decision was upheld by the </w:t>
      </w:r>
      <w:smartTag w:uri="urn:schemas-microsoft-com:office:smarttags" w:element="Street">
        <w:smartTag w:uri="urn:schemas-microsoft-com:office:smarttags" w:element="address">
          <w:r w:rsidR="009520B5">
            <w:t>Vilnius Regional Court</w:t>
          </w:r>
        </w:smartTag>
      </w:smartTag>
      <w:r w:rsidR="009520B5">
        <w:t xml:space="preserve"> </w:t>
      </w:r>
      <w:r w:rsidR="00F83825">
        <w:t xml:space="preserve">on </w:t>
      </w:r>
      <w:r w:rsidR="00E61023" w:rsidRPr="00F83825">
        <w:t>18</w:t>
      </w:r>
      <w:r w:rsidR="000568B5">
        <w:t> </w:t>
      </w:r>
      <w:r w:rsidR="00E61023" w:rsidRPr="00F83825">
        <w:t>June</w:t>
      </w:r>
      <w:r w:rsidR="000568B5">
        <w:t> </w:t>
      </w:r>
      <w:r w:rsidR="00E61023" w:rsidRPr="00F83825">
        <w:t>2004</w:t>
      </w:r>
      <w:r w:rsidR="009520B5">
        <w:t>. Th</w:t>
      </w:r>
      <w:r w:rsidR="005A0083">
        <w:t>at</w:t>
      </w:r>
      <w:r w:rsidR="009520B5">
        <w:t xml:space="preserve"> court </w:t>
      </w:r>
      <w:r w:rsidR="005A0083">
        <w:t>also</w:t>
      </w:r>
      <w:r w:rsidR="00EC4972">
        <w:t xml:space="preserve"> </w:t>
      </w:r>
      <w:r w:rsidR="009520B5">
        <w:t xml:space="preserve">considered that the applicant had failed to prove that the article </w:t>
      </w:r>
      <w:r w:rsidR="00FE2249">
        <w:t xml:space="preserve">had </w:t>
      </w:r>
      <w:r w:rsidR="009520B5">
        <w:t>referred to her private life.</w:t>
      </w:r>
      <w:r w:rsidR="00DF7B6F">
        <w:t xml:space="preserve"> As regards the decision of the Inspector of Journalistic Ethics of 11</w:t>
      </w:r>
      <w:r w:rsidR="000568B5">
        <w:t> </w:t>
      </w:r>
      <w:r w:rsidR="00DF7B6F">
        <w:t>October</w:t>
      </w:r>
      <w:r w:rsidR="000568B5">
        <w:t> </w:t>
      </w:r>
      <w:r w:rsidR="00DF7B6F">
        <w:t xml:space="preserve">2001, the regional court noted that the Inspector had adopted the decision </w:t>
      </w:r>
      <w:r w:rsidR="00AD6C15">
        <w:t xml:space="preserve">following </w:t>
      </w:r>
      <w:r w:rsidR="00DF7B6F">
        <w:t xml:space="preserve">the </w:t>
      </w:r>
      <w:r w:rsidR="00B261BE">
        <w:t>applicant</w:t>
      </w:r>
      <w:r w:rsidR="00CE66E6">
        <w:t>’</w:t>
      </w:r>
      <w:r w:rsidR="00B261BE">
        <w:t>s</w:t>
      </w:r>
      <w:r w:rsidR="00DF7B6F">
        <w:t xml:space="preserve"> written complaint wherein she </w:t>
      </w:r>
      <w:r w:rsidR="00EC4972">
        <w:t xml:space="preserve">had </w:t>
      </w:r>
      <w:r w:rsidR="00DF7B6F">
        <w:t xml:space="preserve">indicated that the article at issue </w:t>
      </w:r>
      <w:r w:rsidR="00FE2249">
        <w:t xml:space="preserve">had </w:t>
      </w:r>
      <w:r w:rsidR="00DF7B6F">
        <w:t>contained information about her and her son</w:t>
      </w:r>
      <w:r w:rsidR="00CE66E6">
        <w:t>’</w:t>
      </w:r>
      <w:r w:rsidR="00DF7B6F">
        <w:t xml:space="preserve">s private life. </w:t>
      </w:r>
      <w:r w:rsidR="00AD6C15">
        <w:t>T</w:t>
      </w:r>
      <w:r w:rsidR="00DF7B6F">
        <w:t>he court</w:t>
      </w:r>
      <w:r w:rsidR="00AD6C15">
        <w:t xml:space="preserve"> considered that</w:t>
      </w:r>
      <w:r w:rsidR="00DF7B6F">
        <w:t xml:space="preserve"> it </w:t>
      </w:r>
      <w:r w:rsidR="00FE2249">
        <w:t xml:space="preserve">would </w:t>
      </w:r>
      <w:r w:rsidR="00DF7B6F">
        <w:t>not</w:t>
      </w:r>
      <w:r w:rsidR="00FE2249">
        <w:t xml:space="preserve"> have been</w:t>
      </w:r>
      <w:r w:rsidR="00DF7B6F">
        <w:t xml:space="preserve"> possible for the Inspector to recognise the applicant or her son from that article without having received the </w:t>
      </w:r>
      <w:r w:rsidR="0009787B">
        <w:t>applicant</w:t>
      </w:r>
      <w:r w:rsidR="00CE66E6">
        <w:t>’</w:t>
      </w:r>
      <w:r w:rsidR="0009787B">
        <w:t>s</w:t>
      </w:r>
      <w:r w:rsidR="00DF7B6F">
        <w:t xml:space="preserve"> complaint.</w:t>
      </w:r>
      <w:r w:rsidR="003E636F">
        <w:t xml:space="preserve"> </w:t>
      </w:r>
      <w:r w:rsidR="0009787B">
        <w:t xml:space="preserve">The same was applicable to the letter </w:t>
      </w:r>
      <w:r w:rsidR="00EC4972">
        <w:t xml:space="preserve">from </w:t>
      </w:r>
      <w:r w:rsidR="0009787B">
        <w:t>the Child Development Centre of 4</w:t>
      </w:r>
      <w:r w:rsidR="00FE2249">
        <w:t> </w:t>
      </w:r>
      <w:r w:rsidR="0009787B">
        <w:t>September</w:t>
      </w:r>
      <w:r w:rsidR="000568B5">
        <w:t> </w:t>
      </w:r>
      <w:r w:rsidR="0009787B">
        <w:t xml:space="preserve">2001, given that it </w:t>
      </w:r>
      <w:r w:rsidR="00EC4972">
        <w:t xml:space="preserve">was </w:t>
      </w:r>
      <w:r w:rsidR="0009787B">
        <w:t xml:space="preserve">merely </w:t>
      </w:r>
      <w:r w:rsidR="00EC4972">
        <w:t xml:space="preserve">a response </w:t>
      </w:r>
      <w:r w:rsidR="0009787B">
        <w:t xml:space="preserve">to </w:t>
      </w:r>
      <w:r w:rsidR="00EC4972">
        <w:t xml:space="preserve">a </w:t>
      </w:r>
      <w:r w:rsidR="0009787B">
        <w:t xml:space="preserve">request by the applicant. The content of that document </w:t>
      </w:r>
      <w:r w:rsidR="00497EEC">
        <w:t xml:space="preserve">was not such as to </w:t>
      </w:r>
      <w:r w:rsidR="0009787B">
        <w:t xml:space="preserve">allow </w:t>
      </w:r>
      <w:r w:rsidR="00497EEC">
        <w:t xml:space="preserve">the </w:t>
      </w:r>
      <w:r w:rsidR="0009787B">
        <w:t>conclu</w:t>
      </w:r>
      <w:r w:rsidR="00497EEC">
        <w:t>sion</w:t>
      </w:r>
      <w:r w:rsidR="0009787B">
        <w:t xml:space="preserve"> that the employees of the Child Development Centre could have recognised the applicant or h</w:t>
      </w:r>
      <w:r w:rsidR="00F83825">
        <w:t xml:space="preserve">er son </w:t>
      </w:r>
      <w:r w:rsidR="00EC4972">
        <w:t>without prompting</w:t>
      </w:r>
      <w:r w:rsidR="00F83825">
        <w:t>.</w:t>
      </w:r>
    </w:p>
    <w:p w:rsidR="00E61023" w:rsidRDefault="00C40812" w:rsidP="0039636F">
      <w:pPr>
        <w:pStyle w:val="JuPara"/>
      </w:pPr>
      <w:r>
        <w:fldChar w:fldCharType="begin"/>
      </w:r>
      <w:r w:rsidR="00F95909">
        <w:instrText xml:space="preserve"> SEQ level0 \*arabic </w:instrText>
      </w:r>
      <w:r>
        <w:fldChar w:fldCharType="separate"/>
      </w:r>
      <w:r w:rsidR="006E0C02">
        <w:rPr>
          <w:noProof/>
        </w:rPr>
        <w:t>24</w:t>
      </w:r>
      <w:r>
        <w:fldChar w:fldCharType="end"/>
      </w:r>
      <w:r w:rsidR="00F95909">
        <w:t>.  </w:t>
      </w:r>
      <w:r w:rsidR="009520B5">
        <w:t>On 29</w:t>
      </w:r>
      <w:r w:rsidR="000568B5">
        <w:t> </w:t>
      </w:r>
      <w:r w:rsidR="009520B5">
        <w:t>November</w:t>
      </w:r>
      <w:r w:rsidR="000568B5">
        <w:t> </w:t>
      </w:r>
      <w:r w:rsidR="009520B5">
        <w:t xml:space="preserve">2004 the Supreme Court dismissed </w:t>
      </w:r>
      <w:r w:rsidR="00EC4972">
        <w:t xml:space="preserve">a cassation appeal by </w:t>
      </w:r>
      <w:r w:rsidR="005933AE">
        <w:t xml:space="preserve">the </w:t>
      </w:r>
      <w:r w:rsidR="009520B5">
        <w:t xml:space="preserve">applicant. It reiterated the findings of the lower courts that the details given in the article </w:t>
      </w:r>
      <w:r w:rsidR="00EC4972">
        <w:t xml:space="preserve">did </w:t>
      </w:r>
      <w:r w:rsidR="009520B5">
        <w:t xml:space="preserve">not permit her clear identification. </w:t>
      </w:r>
      <w:r w:rsidR="009451C3">
        <w:t>The Supreme Court also dismissed the applicant</w:t>
      </w:r>
      <w:r w:rsidR="00CE66E6">
        <w:t>’</w:t>
      </w:r>
      <w:r w:rsidR="009451C3">
        <w:t xml:space="preserve">s </w:t>
      </w:r>
      <w:r w:rsidR="000D0BB8">
        <w:t xml:space="preserve">contention </w:t>
      </w:r>
      <w:r w:rsidR="009451C3">
        <w:t xml:space="preserve">that the </w:t>
      </w:r>
      <w:r w:rsidR="00BF49FB">
        <w:t>Inspector and the medical institution (paragraph</w:t>
      </w:r>
      <w:r w:rsidR="00F819B8">
        <w:t>s</w:t>
      </w:r>
      <w:r w:rsidR="000568B5">
        <w:t> </w:t>
      </w:r>
      <w:r w:rsidR="00F6796A">
        <w:t>18</w:t>
      </w:r>
      <w:r w:rsidR="00BF49FB">
        <w:t xml:space="preserve"> </w:t>
      </w:r>
      <w:r w:rsidR="00F819B8">
        <w:t>and</w:t>
      </w:r>
      <w:r w:rsidR="000568B5">
        <w:t> </w:t>
      </w:r>
      <w:r w:rsidR="00F6796A">
        <w:t>19</w:t>
      </w:r>
      <w:r w:rsidR="00F819B8">
        <w:t xml:space="preserve"> </w:t>
      </w:r>
      <w:r w:rsidR="00BF49FB">
        <w:t xml:space="preserve">above) </w:t>
      </w:r>
      <w:r w:rsidR="00497EEC">
        <w:t xml:space="preserve">had </w:t>
      </w:r>
      <w:r w:rsidR="00BF49FB">
        <w:t xml:space="preserve">proved that she was recognisable from the text of the impugned article. </w:t>
      </w:r>
      <w:r w:rsidR="00AD6C15">
        <w:t xml:space="preserve">In the opinion of </w:t>
      </w:r>
      <w:r w:rsidR="00BF49FB">
        <w:t>the Supreme Court, neither the decision of the Inspector nor the answer from the medical institution w</w:t>
      </w:r>
      <w:r w:rsidR="005933AE">
        <w:t>as</w:t>
      </w:r>
      <w:r w:rsidR="00BF49FB">
        <w:t xml:space="preserve"> binding </w:t>
      </w:r>
      <w:r w:rsidR="00EC4972">
        <w:t xml:space="preserve">or </w:t>
      </w:r>
      <w:r w:rsidR="00BF49FB">
        <w:t>had</w:t>
      </w:r>
      <w:r w:rsidR="005933AE">
        <w:t xml:space="preserve"> a</w:t>
      </w:r>
      <w:r w:rsidR="00BF49FB">
        <w:t xml:space="preserve"> prejudicial effect for the domestic courts. Those documents </w:t>
      </w:r>
      <w:r w:rsidR="00EC4972">
        <w:t xml:space="preserve">had been </w:t>
      </w:r>
      <w:r w:rsidR="00BF49FB">
        <w:t>assessed as written evidence in a civil case, bu</w:t>
      </w:r>
      <w:r w:rsidR="00F819B8">
        <w:t>t they were not normative acts.</w:t>
      </w:r>
    </w:p>
    <w:p w:rsidR="009520B5" w:rsidRDefault="00C40812" w:rsidP="0039636F">
      <w:pPr>
        <w:pStyle w:val="JuPara"/>
      </w:pPr>
      <w:r>
        <w:fldChar w:fldCharType="begin"/>
      </w:r>
      <w:r w:rsidR="00E61023">
        <w:instrText xml:space="preserve"> SEQ level0 \*arabic </w:instrText>
      </w:r>
      <w:r>
        <w:fldChar w:fldCharType="separate"/>
      </w:r>
      <w:r w:rsidR="006E0C02">
        <w:rPr>
          <w:noProof/>
        </w:rPr>
        <w:t>25</w:t>
      </w:r>
      <w:r>
        <w:fldChar w:fldCharType="end"/>
      </w:r>
      <w:r w:rsidR="00E61023">
        <w:t>.  </w:t>
      </w:r>
      <w:r w:rsidR="009520B5">
        <w:t xml:space="preserve">However, in a separate </w:t>
      </w:r>
      <w:r w:rsidR="00F819B8">
        <w:t xml:space="preserve">ruling adopted </w:t>
      </w:r>
      <w:r w:rsidR="00497EEC">
        <w:t xml:space="preserve">on </w:t>
      </w:r>
      <w:r w:rsidR="00F819B8">
        <w:t>the same day</w:t>
      </w:r>
      <w:r w:rsidR="009520B5">
        <w:t>, the Supreme Court decided to notify the CWS of its disapproval of the actions of that service</w:t>
      </w:r>
      <w:r w:rsidR="00CE66E6">
        <w:t>’</w:t>
      </w:r>
      <w:r w:rsidR="009520B5">
        <w:t>s empl</w:t>
      </w:r>
      <w:r w:rsidR="00B853D2">
        <w:t>oyees. The Supreme Court noted:</w:t>
      </w:r>
    </w:p>
    <w:p w:rsidR="005933AE" w:rsidRDefault="005933AE" w:rsidP="0039636F">
      <w:pPr>
        <w:pStyle w:val="JuPara"/>
      </w:pPr>
    </w:p>
    <w:p w:rsidR="00404F2A" w:rsidRDefault="009520B5" w:rsidP="0039636F">
      <w:pPr>
        <w:pStyle w:val="JuPara"/>
        <w:ind w:left="284" w:firstLine="283"/>
        <w:rPr>
          <w:sz w:val="20"/>
        </w:rPr>
      </w:pPr>
      <w:r w:rsidRPr="00FE5656">
        <w:rPr>
          <w:sz w:val="20"/>
        </w:rPr>
        <w:t xml:space="preserve">“The fact that the claim </w:t>
      </w:r>
      <w:r w:rsidR="00B853D2">
        <w:rPr>
          <w:sz w:val="20"/>
        </w:rPr>
        <w:t>[for breach of the applicant</w:t>
      </w:r>
      <w:r w:rsidR="00CE66E6">
        <w:rPr>
          <w:sz w:val="20"/>
        </w:rPr>
        <w:t>’</w:t>
      </w:r>
      <w:r w:rsidR="00B853D2">
        <w:rPr>
          <w:sz w:val="20"/>
        </w:rPr>
        <w:t xml:space="preserve">s privacy] </w:t>
      </w:r>
      <w:r w:rsidRPr="00FE5656">
        <w:rPr>
          <w:sz w:val="20"/>
        </w:rPr>
        <w:t xml:space="preserve">was dismissed as </w:t>
      </w:r>
      <w:r w:rsidR="00B853D2">
        <w:rPr>
          <w:sz w:val="20"/>
        </w:rPr>
        <w:t>not proven</w:t>
      </w:r>
      <w:r w:rsidRPr="00FE5656">
        <w:rPr>
          <w:sz w:val="20"/>
        </w:rPr>
        <w:t xml:space="preserve"> does not </w:t>
      </w:r>
      <w:r>
        <w:rPr>
          <w:sz w:val="20"/>
        </w:rPr>
        <w:t>lead to</w:t>
      </w:r>
      <w:r w:rsidRPr="00FE5656">
        <w:rPr>
          <w:sz w:val="20"/>
        </w:rPr>
        <w:t xml:space="preserve"> the conclusion that the actions of the [employees] of </w:t>
      </w:r>
      <w:r w:rsidR="00EB3D82">
        <w:rPr>
          <w:sz w:val="20"/>
        </w:rPr>
        <w:t>[</w:t>
      </w:r>
      <w:r w:rsidRPr="00FE5656">
        <w:rPr>
          <w:sz w:val="20"/>
        </w:rPr>
        <w:t xml:space="preserve">the </w:t>
      </w:r>
      <w:r>
        <w:rPr>
          <w:sz w:val="20"/>
        </w:rPr>
        <w:t>CWS]</w:t>
      </w:r>
      <w:r w:rsidRPr="00FE5656">
        <w:rPr>
          <w:sz w:val="20"/>
        </w:rPr>
        <w:t xml:space="preserve">, whereby they provided information to the media regarding </w:t>
      </w:r>
      <w:r>
        <w:rPr>
          <w:sz w:val="20"/>
        </w:rPr>
        <w:t xml:space="preserve">the private </w:t>
      </w:r>
      <w:r w:rsidRPr="00FE5656">
        <w:rPr>
          <w:sz w:val="20"/>
        </w:rPr>
        <w:t>relations of the</w:t>
      </w:r>
      <w:r w:rsidR="00EC4972">
        <w:rPr>
          <w:sz w:val="20"/>
        </w:rPr>
        <w:t xml:space="preserve"> </w:t>
      </w:r>
      <w:r>
        <w:rPr>
          <w:sz w:val="20"/>
        </w:rPr>
        <w:t xml:space="preserve">former </w:t>
      </w:r>
      <w:r w:rsidRPr="00FE5656">
        <w:rPr>
          <w:sz w:val="20"/>
        </w:rPr>
        <w:t xml:space="preserve">spouses and </w:t>
      </w:r>
      <w:r>
        <w:rPr>
          <w:sz w:val="20"/>
        </w:rPr>
        <w:t>their</w:t>
      </w:r>
      <w:r w:rsidRPr="00FE5656">
        <w:rPr>
          <w:sz w:val="20"/>
        </w:rPr>
        <w:t xml:space="preserve"> impact on the child</w:t>
      </w:r>
      <w:r w:rsidR="00CE66E6">
        <w:rPr>
          <w:sz w:val="20"/>
        </w:rPr>
        <w:t>’</w:t>
      </w:r>
      <w:r w:rsidRPr="00FE5656">
        <w:rPr>
          <w:sz w:val="20"/>
        </w:rPr>
        <w:t>s rights and interests, are wholly tolerable, reasonable and compatible with the child</w:t>
      </w:r>
      <w:r w:rsidR="00CE66E6">
        <w:rPr>
          <w:sz w:val="20"/>
        </w:rPr>
        <w:t>’</w:t>
      </w:r>
      <w:r w:rsidRPr="00FE5656">
        <w:rPr>
          <w:sz w:val="20"/>
        </w:rPr>
        <w:t>s interests</w:t>
      </w:r>
      <w:r>
        <w:rPr>
          <w:sz w:val="20"/>
        </w:rPr>
        <w:t>.</w:t>
      </w:r>
      <w:r w:rsidR="00404F2A">
        <w:rPr>
          <w:sz w:val="20"/>
        </w:rPr>
        <w:t xml:space="preserve"> </w:t>
      </w:r>
      <w:r w:rsidR="00161877">
        <w:rPr>
          <w:sz w:val="20"/>
        </w:rPr>
        <w:t>...</w:t>
      </w:r>
    </w:p>
    <w:p w:rsidR="009520B5" w:rsidRDefault="009520B5" w:rsidP="0039636F">
      <w:pPr>
        <w:pStyle w:val="JuPara"/>
        <w:ind w:left="284" w:firstLine="283"/>
        <w:rPr>
          <w:sz w:val="20"/>
        </w:rPr>
      </w:pPr>
    </w:p>
    <w:p w:rsidR="009520B5" w:rsidRPr="00FE5656" w:rsidRDefault="009520B5" w:rsidP="0039636F">
      <w:pPr>
        <w:pStyle w:val="JuPara"/>
        <w:ind w:left="284" w:firstLine="283"/>
        <w:rPr>
          <w:sz w:val="20"/>
        </w:rPr>
      </w:pPr>
      <w:r w:rsidRPr="00FE5656">
        <w:rPr>
          <w:sz w:val="20"/>
        </w:rPr>
        <w:t xml:space="preserve">The objective of </w:t>
      </w:r>
      <w:r w:rsidR="006D29C6">
        <w:rPr>
          <w:sz w:val="20"/>
        </w:rPr>
        <w:t>[</w:t>
      </w:r>
      <w:r w:rsidRPr="00FE5656">
        <w:rPr>
          <w:sz w:val="20"/>
        </w:rPr>
        <w:t xml:space="preserve">the </w:t>
      </w:r>
      <w:r>
        <w:rPr>
          <w:sz w:val="20"/>
        </w:rPr>
        <w:t xml:space="preserve">CWS] </w:t>
      </w:r>
      <w:r w:rsidRPr="00FE5656">
        <w:rPr>
          <w:sz w:val="20"/>
        </w:rPr>
        <w:t xml:space="preserve">is to guarantee the protection of the rights of the child </w:t>
      </w:r>
      <w:r w:rsidR="00161877">
        <w:rPr>
          <w:sz w:val="20"/>
        </w:rPr>
        <w:t>...</w:t>
      </w:r>
      <w:r w:rsidRPr="00FE5656">
        <w:rPr>
          <w:sz w:val="20"/>
        </w:rPr>
        <w:t xml:space="preserve"> </w:t>
      </w:r>
      <w:r w:rsidR="00EC4972">
        <w:rPr>
          <w:sz w:val="20"/>
        </w:rPr>
        <w:t>A</w:t>
      </w:r>
      <w:r w:rsidR="00EC4972" w:rsidRPr="00FE5656">
        <w:rPr>
          <w:sz w:val="20"/>
        </w:rPr>
        <w:t xml:space="preserve"> </w:t>
      </w:r>
      <w:r w:rsidRPr="00FE5656">
        <w:rPr>
          <w:sz w:val="20"/>
        </w:rPr>
        <w:t xml:space="preserve">situation </w:t>
      </w:r>
      <w:r w:rsidR="00EC4972">
        <w:rPr>
          <w:sz w:val="20"/>
        </w:rPr>
        <w:t xml:space="preserve">in </w:t>
      </w:r>
      <w:r>
        <w:rPr>
          <w:sz w:val="20"/>
        </w:rPr>
        <w:t>which</w:t>
      </w:r>
      <w:r w:rsidRPr="00FE5656">
        <w:rPr>
          <w:sz w:val="20"/>
        </w:rPr>
        <w:t xml:space="preserve"> [</w:t>
      </w:r>
      <w:r w:rsidR="006D29C6">
        <w:rPr>
          <w:sz w:val="20"/>
        </w:rPr>
        <w:t xml:space="preserve">the </w:t>
      </w:r>
      <w:r>
        <w:rPr>
          <w:sz w:val="20"/>
        </w:rPr>
        <w:t xml:space="preserve">CWS </w:t>
      </w:r>
      <w:r w:rsidRPr="00FE5656">
        <w:rPr>
          <w:sz w:val="20"/>
        </w:rPr>
        <w:t xml:space="preserve">employees] publicly and in a relatively detailed way comment </w:t>
      </w:r>
      <w:r>
        <w:rPr>
          <w:sz w:val="20"/>
        </w:rPr>
        <w:t xml:space="preserve">on difficulties </w:t>
      </w:r>
      <w:r w:rsidR="00AD6C15">
        <w:rPr>
          <w:sz w:val="20"/>
        </w:rPr>
        <w:t>in</w:t>
      </w:r>
      <w:r w:rsidR="00AD6C15" w:rsidRPr="00FE5656">
        <w:rPr>
          <w:sz w:val="20"/>
        </w:rPr>
        <w:t xml:space="preserve"> </w:t>
      </w:r>
      <w:r w:rsidRPr="00FE5656">
        <w:rPr>
          <w:sz w:val="20"/>
        </w:rPr>
        <w:t xml:space="preserve">the </w:t>
      </w:r>
      <w:r w:rsidR="00EC4972">
        <w:rPr>
          <w:sz w:val="20"/>
        </w:rPr>
        <w:t>circumstances</w:t>
      </w:r>
      <w:r w:rsidR="00EC4972" w:rsidRPr="00FE5656">
        <w:rPr>
          <w:sz w:val="20"/>
        </w:rPr>
        <w:t xml:space="preserve"> </w:t>
      </w:r>
      <w:r w:rsidRPr="00FE5656">
        <w:rPr>
          <w:sz w:val="20"/>
        </w:rPr>
        <w:t>and health of a particular child cannot be deemed compatible with the interests of th</w:t>
      </w:r>
      <w:r>
        <w:rPr>
          <w:sz w:val="20"/>
        </w:rPr>
        <w:t>e</w:t>
      </w:r>
      <w:r w:rsidRPr="00FE5656">
        <w:rPr>
          <w:sz w:val="20"/>
        </w:rPr>
        <w:t xml:space="preserve"> child. Although </w:t>
      </w:r>
      <w:r w:rsidR="00161877">
        <w:rPr>
          <w:sz w:val="20"/>
        </w:rPr>
        <w:t>...</w:t>
      </w:r>
      <w:r w:rsidRPr="00FE5656">
        <w:rPr>
          <w:sz w:val="20"/>
        </w:rPr>
        <w:t xml:space="preserve"> the </w:t>
      </w:r>
      <w:r>
        <w:rPr>
          <w:sz w:val="20"/>
        </w:rPr>
        <w:t xml:space="preserve">court </w:t>
      </w:r>
      <w:r w:rsidRPr="00FE5656">
        <w:rPr>
          <w:sz w:val="20"/>
        </w:rPr>
        <w:t xml:space="preserve">action was dismissed for failure to prove that </w:t>
      </w:r>
      <w:r w:rsidR="00161877">
        <w:rPr>
          <w:sz w:val="20"/>
        </w:rPr>
        <w:t>...</w:t>
      </w:r>
      <w:r w:rsidRPr="00FE5656">
        <w:rPr>
          <w:sz w:val="20"/>
        </w:rPr>
        <w:t xml:space="preserve"> the facts </w:t>
      </w:r>
      <w:r>
        <w:rPr>
          <w:sz w:val="20"/>
        </w:rPr>
        <w:t xml:space="preserve">mentioned </w:t>
      </w:r>
      <w:r w:rsidRPr="00FE5656">
        <w:rPr>
          <w:sz w:val="20"/>
        </w:rPr>
        <w:t xml:space="preserve">in the article </w:t>
      </w:r>
      <w:r w:rsidR="00AD6C15">
        <w:rPr>
          <w:sz w:val="20"/>
        </w:rPr>
        <w:t xml:space="preserve">might </w:t>
      </w:r>
      <w:r w:rsidRPr="00FE5656">
        <w:rPr>
          <w:sz w:val="20"/>
        </w:rPr>
        <w:t>allow third person</w:t>
      </w:r>
      <w:r>
        <w:rPr>
          <w:sz w:val="20"/>
        </w:rPr>
        <w:t>s to identify the applicant or h</w:t>
      </w:r>
      <w:r w:rsidRPr="00FE5656">
        <w:rPr>
          <w:sz w:val="20"/>
        </w:rPr>
        <w:t>er child, it remains obvious that the child</w:t>
      </w:r>
      <w:r w:rsidR="00EC4972">
        <w:rPr>
          <w:sz w:val="20"/>
        </w:rPr>
        <w:t xml:space="preserve"> himself</w:t>
      </w:r>
      <w:r>
        <w:rPr>
          <w:sz w:val="20"/>
        </w:rPr>
        <w:t xml:space="preserve">, being </w:t>
      </w:r>
      <w:r w:rsidRPr="00FE5656">
        <w:rPr>
          <w:sz w:val="20"/>
        </w:rPr>
        <w:t>13 years</w:t>
      </w:r>
      <w:r>
        <w:rPr>
          <w:sz w:val="20"/>
        </w:rPr>
        <w:t xml:space="preserve"> old</w:t>
      </w:r>
      <w:r w:rsidRPr="00FE5656">
        <w:rPr>
          <w:sz w:val="20"/>
        </w:rPr>
        <w:t xml:space="preserve">, </w:t>
      </w:r>
      <w:r>
        <w:rPr>
          <w:sz w:val="20"/>
        </w:rPr>
        <w:t xml:space="preserve">understood </w:t>
      </w:r>
      <w:r w:rsidRPr="00FE5656">
        <w:rPr>
          <w:sz w:val="20"/>
        </w:rPr>
        <w:t>that the article</w:t>
      </w:r>
      <w:r w:rsidR="00EC4972">
        <w:rPr>
          <w:sz w:val="20"/>
        </w:rPr>
        <w:t xml:space="preserve"> was an</w:t>
      </w:r>
      <w:r w:rsidRPr="00FE5656">
        <w:rPr>
          <w:sz w:val="20"/>
        </w:rPr>
        <w:t xml:space="preserve"> analys</w:t>
      </w:r>
      <w:r w:rsidR="00EC4972">
        <w:rPr>
          <w:sz w:val="20"/>
        </w:rPr>
        <w:t>is of</w:t>
      </w:r>
      <w:r w:rsidRPr="00FE5656">
        <w:rPr>
          <w:sz w:val="20"/>
        </w:rPr>
        <w:t xml:space="preserve"> the relationsh</w:t>
      </w:r>
      <w:r>
        <w:rPr>
          <w:sz w:val="20"/>
        </w:rPr>
        <w:t xml:space="preserve">ip </w:t>
      </w:r>
      <w:r w:rsidR="00EC4972">
        <w:rPr>
          <w:sz w:val="20"/>
        </w:rPr>
        <w:t xml:space="preserve">between </w:t>
      </w:r>
      <w:r>
        <w:rPr>
          <w:sz w:val="20"/>
        </w:rPr>
        <w:t>his parents and described</w:t>
      </w:r>
      <w:r w:rsidRPr="00FE5656">
        <w:rPr>
          <w:sz w:val="20"/>
        </w:rPr>
        <w:t xml:space="preserve"> his</w:t>
      </w:r>
      <w:r>
        <w:rPr>
          <w:sz w:val="20"/>
        </w:rPr>
        <w:t xml:space="preserve"> state of</w:t>
      </w:r>
      <w:r w:rsidRPr="00FE5656">
        <w:rPr>
          <w:sz w:val="20"/>
        </w:rPr>
        <w:t xml:space="preserve"> health</w:t>
      </w:r>
      <w:r>
        <w:rPr>
          <w:sz w:val="20"/>
        </w:rPr>
        <w:t>. Publicising such details</w:t>
      </w:r>
      <w:r w:rsidRPr="00FE5656">
        <w:rPr>
          <w:sz w:val="20"/>
        </w:rPr>
        <w:t xml:space="preserve"> cannot but </w:t>
      </w:r>
      <w:r>
        <w:rPr>
          <w:sz w:val="20"/>
        </w:rPr>
        <w:t>arouse</w:t>
      </w:r>
      <w:r w:rsidRPr="00FE5656">
        <w:rPr>
          <w:sz w:val="20"/>
        </w:rPr>
        <w:t xml:space="preserve"> feelings of distress, discomfort, anxiety and dissatisfaction with </w:t>
      </w:r>
      <w:r>
        <w:rPr>
          <w:sz w:val="20"/>
        </w:rPr>
        <w:t>his</w:t>
      </w:r>
      <w:r w:rsidRPr="00FE5656">
        <w:rPr>
          <w:sz w:val="20"/>
        </w:rPr>
        <w:t xml:space="preserve"> parents</w:t>
      </w:r>
      <w:r w:rsidR="00CE66E6">
        <w:rPr>
          <w:sz w:val="20"/>
        </w:rPr>
        <w:t>’</w:t>
      </w:r>
      <w:r w:rsidRPr="00FE5656">
        <w:rPr>
          <w:sz w:val="20"/>
        </w:rPr>
        <w:t xml:space="preserve"> behaviour </w:t>
      </w:r>
      <w:r w:rsidR="00161877">
        <w:rPr>
          <w:sz w:val="20"/>
        </w:rPr>
        <w:t>...</w:t>
      </w:r>
      <w:r w:rsidRPr="00FE5656">
        <w:rPr>
          <w:sz w:val="20"/>
        </w:rPr>
        <w:t xml:space="preserve"> In the present </w:t>
      </w:r>
      <w:r>
        <w:rPr>
          <w:sz w:val="20"/>
        </w:rPr>
        <w:t>circumstances,</w:t>
      </w:r>
      <w:r w:rsidRPr="00FE5656">
        <w:rPr>
          <w:sz w:val="20"/>
        </w:rPr>
        <w:t xml:space="preserve"> </w:t>
      </w:r>
      <w:r>
        <w:rPr>
          <w:sz w:val="20"/>
        </w:rPr>
        <w:t>there was no g</w:t>
      </w:r>
      <w:r w:rsidRPr="00FE5656">
        <w:rPr>
          <w:sz w:val="20"/>
        </w:rPr>
        <w:t xml:space="preserve">round </w:t>
      </w:r>
      <w:r>
        <w:rPr>
          <w:sz w:val="20"/>
        </w:rPr>
        <w:t>warranting</w:t>
      </w:r>
      <w:r w:rsidRPr="00FE5656">
        <w:rPr>
          <w:sz w:val="20"/>
        </w:rPr>
        <w:t xml:space="preserve"> the publication of th</w:t>
      </w:r>
      <w:r>
        <w:rPr>
          <w:sz w:val="20"/>
        </w:rPr>
        <w:t>e</w:t>
      </w:r>
      <w:r w:rsidRPr="00FE5656">
        <w:rPr>
          <w:sz w:val="20"/>
        </w:rPr>
        <w:t xml:space="preserve"> information</w:t>
      </w:r>
      <w:r>
        <w:rPr>
          <w:sz w:val="20"/>
        </w:rPr>
        <w:t xml:space="preserve">, </w:t>
      </w:r>
      <w:r w:rsidRPr="00FE5656">
        <w:rPr>
          <w:sz w:val="20"/>
        </w:rPr>
        <w:t xml:space="preserve">nor </w:t>
      </w:r>
      <w:r>
        <w:rPr>
          <w:sz w:val="20"/>
        </w:rPr>
        <w:t>was there a</w:t>
      </w:r>
      <w:r w:rsidRPr="00FE5656">
        <w:rPr>
          <w:sz w:val="20"/>
        </w:rPr>
        <w:t xml:space="preserve"> legitimate interest </w:t>
      </w:r>
      <w:r w:rsidR="00EC4972">
        <w:rPr>
          <w:sz w:val="20"/>
        </w:rPr>
        <w:t>in</w:t>
      </w:r>
      <w:r w:rsidR="00EC4972" w:rsidRPr="00FE5656">
        <w:rPr>
          <w:sz w:val="20"/>
        </w:rPr>
        <w:t xml:space="preserve"> </w:t>
      </w:r>
      <w:r w:rsidRPr="00FE5656">
        <w:rPr>
          <w:sz w:val="20"/>
        </w:rPr>
        <w:t>society be</w:t>
      </w:r>
      <w:r w:rsidR="00EC4972">
        <w:rPr>
          <w:sz w:val="20"/>
        </w:rPr>
        <w:t>ing</w:t>
      </w:r>
      <w:r w:rsidRPr="00FE5656">
        <w:rPr>
          <w:sz w:val="20"/>
        </w:rPr>
        <w:t xml:space="preserve"> informed </w:t>
      </w:r>
      <w:r>
        <w:rPr>
          <w:sz w:val="20"/>
        </w:rPr>
        <w:t xml:space="preserve">thereof </w:t>
      </w:r>
      <w:r w:rsidR="00161877">
        <w:rPr>
          <w:sz w:val="20"/>
        </w:rPr>
        <w:t>...</w:t>
      </w:r>
    </w:p>
    <w:p w:rsidR="009520B5" w:rsidRPr="00FE5656" w:rsidRDefault="009520B5" w:rsidP="0039636F">
      <w:pPr>
        <w:pStyle w:val="JuPara"/>
        <w:ind w:left="284" w:firstLine="283"/>
        <w:rPr>
          <w:sz w:val="20"/>
        </w:rPr>
      </w:pPr>
    </w:p>
    <w:p w:rsidR="00F71A6A" w:rsidRPr="000568B5" w:rsidRDefault="009520B5" w:rsidP="000568B5">
      <w:pPr>
        <w:pStyle w:val="JuPara"/>
        <w:ind w:left="284" w:firstLine="283"/>
        <w:rPr>
          <w:sz w:val="20"/>
        </w:rPr>
      </w:pPr>
      <w:r w:rsidRPr="00FE5656">
        <w:rPr>
          <w:sz w:val="20"/>
        </w:rPr>
        <w:t xml:space="preserve">It is to be noted that the actions of the [employees] of </w:t>
      </w:r>
      <w:r>
        <w:rPr>
          <w:sz w:val="20"/>
        </w:rPr>
        <w:t>[</w:t>
      </w:r>
      <w:r w:rsidR="006D29C6">
        <w:rPr>
          <w:sz w:val="20"/>
        </w:rPr>
        <w:t xml:space="preserve">the </w:t>
      </w:r>
      <w:r>
        <w:rPr>
          <w:sz w:val="20"/>
        </w:rPr>
        <w:t>CWS]</w:t>
      </w:r>
      <w:r w:rsidRPr="00FE5656">
        <w:rPr>
          <w:sz w:val="20"/>
        </w:rPr>
        <w:t xml:space="preserve"> whereby specific facts regarding particular persons </w:t>
      </w:r>
      <w:r>
        <w:rPr>
          <w:sz w:val="20"/>
        </w:rPr>
        <w:t xml:space="preserve">were </w:t>
      </w:r>
      <w:r w:rsidRPr="00FE5656">
        <w:rPr>
          <w:sz w:val="20"/>
        </w:rPr>
        <w:t>disclosed to the media</w:t>
      </w:r>
      <w:r w:rsidR="00EC4972">
        <w:rPr>
          <w:sz w:val="20"/>
        </w:rPr>
        <w:t xml:space="preserve"> </w:t>
      </w:r>
      <w:r w:rsidR="00161877">
        <w:rPr>
          <w:sz w:val="20"/>
        </w:rPr>
        <w:t>...</w:t>
      </w:r>
      <w:r w:rsidRPr="00FE5656">
        <w:rPr>
          <w:sz w:val="20"/>
        </w:rPr>
        <w:t xml:space="preserve"> were not compatible with the interests of the child </w:t>
      </w:r>
      <w:r w:rsidR="00161877">
        <w:rPr>
          <w:sz w:val="20"/>
        </w:rPr>
        <w:t>...</w:t>
      </w:r>
      <w:r w:rsidRPr="00FE5656">
        <w:rPr>
          <w:sz w:val="20"/>
        </w:rPr>
        <w:t>”</w:t>
      </w:r>
    </w:p>
    <w:p w:rsidR="007352DD" w:rsidRPr="005B2522" w:rsidRDefault="007352DD" w:rsidP="0039636F">
      <w:pPr>
        <w:pStyle w:val="JuHIRoman"/>
        <w:outlineLvl w:val="0"/>
      </w:pPr>
      <w:r w:rsidRPr="005B2522">
        <w:t>II. RELEVANT DOMESTIC LAW AND PRACTICE</w:t>
      </w:r>
    </w:p>
    <w:p w:rsidR="00DA52C5" w:rsidRPr="007B02F5" w:rsidRDefault="00C40812" w:rsidP="0039636F">
      <w:pPr>
        <w:pStyle w:val="JuPara"/>
      </w:pPr>
      <w:r w:rsidRPr="005B2522">
        <w:fldChar w:fldCharType="begin"/>
      </w:r>
      <w:r w:rsidR="00F22905" w:rsidRPr="005B2522">
        <w:instrText xml:space="preserve"> SEQ level0 \*arabic </w:instrText>
      </w:r>
      <w:r w:rsidRPr="005B2522">
        <w:fldChar w:fldCharType="separate"/>
      </w:r>
      <w:r w:rsidR="006E0C02">
        <w:rPr>
          <w:noProof/>
        </w:rPr>
        <w:t>26</w:t>
      </w:r>
      <w:r w:rsidRPr="005B2522">
        <w:fldChar w:fldCharType="end"/>
      </w:r>
      <w:r w:rsidR="007352DD" w:rsidRPr="005B2522">
        <w:t>.  </w:t>
      </w:r>
      <w:r w:rsidR="00DA52C5" w:rsidRPr="007B02F5">
        <w:t>Article</w:t>
      </w:r>
      <w:r w:rsidR="000568B5">
        <w:t> </w:t>
      </w:r>
      <w:r w:rsidR="00DA52C5" w:rsidRPr="007B02F5">
        <w:t xml:space="preserve">22 of the Constitution of the </w:t>
      </w:r>
      <w:smartTag w:uri="urn:schemas-microsoft-com:office:smarttags" w:element="place">
        <w:smartTag w:uri="urn:schemas-microsoft-com:office:smarttags" w:element="PlaceType">
          <w:r w:rsidR="00DA52C5" w:rsidRPr="007B02F5">
            <w:t>Republic</w:t>
          </w:r>
        </w:smartTag>
        <w:r w:rsidR="00DA52C5" w:rsidRPr="007B02F5">
          <w:t xml:space="preserve"> of </w:t>
        </w:r>
        <w:smartTag w:uri="urn:schemas-microsoft-com:office:smarttags" w:element="PlaceName">
          <w:r w:rsidR="00DA52C5" w:rsidRPr="007B02F5">
            <w:t>Lithuania</w:t>
          </w:r>
        </w:smartTag>
      </w:smartTag>
      <w:r w:rsidR="00DA52C5" w:rsidRPr="007B02F5">
        <w:t xml:space="preserve"> provides</w:t>
      </w:r>
      <w:r w:rsidR="00497EEC">
        <w:t>, in so far</w:t>
      </w:r>
      <w:r w:rsidR="00DA52C5" w:rsidRPr="007B02F5">
        <w:t xml:space="preserve"> as relevant:</w:t>
      </w:r>
    </w:p>
    <w:p w:rsidR="00DA52C5" w:rsidRPr="007B02F5" w:rsidRDefault="00DA52C5" w:rsidP="0039636F">
      <w:pPr>
        <w:pStyle w:val="JuQuot"/>
      </w:pPr>
      <w:r w:rsidRPr="007B02F5">
        <w:t>“The private life of a human being shall be inviolable</w:t>
      </w:r>
      <w:r w:rsidR="00EC4972">
        <w:t> </w:t>
      </w:r>
      <w:r w:rsidRPr="007B02F5">
        <w:t>...</w:t>
      </w:r>
      <w:r w:rsidRPr="007B02F5">
        <w:br/>
        <w:t>The law and the court</w:t>
      </w:r>
      <w:r>
        <w:t>s</w:t>
      </w:r>
      <w:r w:rsidRPr="007B02F5">
        <w:t xml:space="preserve"> shall protect everyone from arbitrary or unlawful interference </w:t>
      </w:r>
      <w:r w:rsidR="00EC4972">
        <w:t>with</w:t>
      </w:r>
      <w:r w:rsidR="00EC4972" w:rsidRPr="007B02F5">
        <w:t xml:space="preserve"> </w:t>
      </w:r>
      <w:r w:rsidRPr="007B02F5">
        <w:t xml:space="preserve">his private and family life, </w:t>
      </w:r>
      <w:r>
        <w:t xml:space="preserve">or </w:t>
      </w:r>
      <w:r w:rsidRPr="007B02F5">
        <w:t>from encroachment upon his honour and dignity.</w:t>
      </w:r>
      <w:r w:rsidR="00AD6C15">
        <w:t>”</w:t>
      </w:r>
    </w:p>
    <w:p w:rsidR="00DA52C5" w:rsidRPr="00520EEA" w:rsidRDefault="00C40812" w:rsidP="0039636F">
      <w:pPr>
        <w:pStyle w:val="JuPara"/>
      </w:pPr>
      <w:r w:rsidRPr="007B02F5">
        <w:fldChar w:fldCharType="begin"/>
      </w:r>
      <w:r w:rsidR="00DA52C5" w:rsidRPr="007B02F5">
        <w:instrText xml:space="preserve"> SEQ level0 \*arabic </w:instrText>
      </w:r>
      <w:r w:rsidRPr="007B02F5">
        <w:fldChar w:fldCharType="separate"/>
      </w:r>
      <w:r w:rsidR="006E0C02">
        <w:rPr>
          <w:noProof/>
        </w:rPr>
        <w:t>27</w:t>
      </w:r>
      <w:r w:rsidRPr="007B02F5">
        <w:fldChar w:fldCharType="end"/>
      </w:r>
      <w:r w:rsidR="00DA52C5" w:rsidRPr="007B02F5">
        <w:t>.  Article</w:t>
      </w:r>
      <w:r w:rsidR="000568B5">
        <w:t> </w:t>
      </w:r>
      <w:r w:rsidR="00DA52C5" w:rsidRPr="007B02F5">
        <w:t>30 of the Constitution</w:t>
      </w:r>
      <w:r w:rsidR="0057674C">
        <w:t xml:space="preserve"> guarantees the right of access to the courts and</w:t>
      </w:r>
      <w:r w:rsidR="00DA52C5" w:rsidRPr="007B02F5">
        <w:t xml:space="preserve"> provides that compensation for </w:t>
      </w:r>
      <w:r w:rsidR="00DA52C5" w:rsidRPr="00520EEA">
        <w:t>material and non-pecuniary damage suffered by a person shall be established by law.</w:t>
      </w:r>
    </w:p>
    <w:p w:rsidR="00DA52C5" w:rsidRPr="00520EEA" w:rsidRDefault="00C40812" w:rsidP="00520EEA">
      <w:pPr>
        <w:pStyle w:val="JuPara"/>
      </w:pPr>
      <w:r w:rsidRPr="00520EEA">
        <w:fldChar w:fldCharType="begin"/>
      </w:r>
      <w:r w:rsidR="00DA52C5" w:rsidRPr="00520EEA">
        <w:instrText xml:space="preserve"> SEQ level0 \*arabic </w:instrText>
      </w:r>
      <w:r w:rsidRPr="00520EEA">
        <w:fldChar w:fldCharType="separate"/>
      </w:r>
      <w:r w:rsidR="006E0C02">
        <w:rPr>
          <w:noProof/>
        </w:rPr>
        <w:t>28</w:t>
      </w:r>
      <w:r w:rsidRPr="00520EEA">
        <w:fldChar w:fldCharType="end"/>
      </w:r>
      <w:r w:rsidR="00DA52C5" w:rsidRPr="00520EEA">
        <w:t>.  Article</w:t>
      </w:r>
      <w:r w:rsidR="000568B5">
        <w:t> </w:t>
      </w:r>
      <w:r w:rsidR="00DA52C5" w:rsidRPr="00520EEA">
        <w:rPr>
          <w:rStyle w:val="JuHArticleChar"/>
          <w:b w:val="0"/>
        </w:rPr>
        <w:t>7</w:t>
      </w:r>
      <w:r w:rsidR="00C94E14" w:rsidRPr="00520EEA">
        <w:rPr>
          <w:rStyle w:val="JuHArticleChar"/>
          <w:b w:val="0"/>
        </w:rPr>
        <w:t>(1)</w:t>
      </w:r>
      <w:r w:rsidR="00DA52C5" w:rsidRPr="00520EEA">
        <w:rPr>
          <w:rStyle w:val="JuHArticleChar"/>
          <w:vertAlign w:val="superscript"/>
        </w:rPr>
        <w:t xml:space="preserve"> </w:t>
      </w:r>
      <w:r w:rsidR="00DA52C5" w:rsidRPr="00520EEA">
        <w:t>of the Civil Code</w:t>
      </w:r>
      <w:r w:rsidR="00C94E14" w:rsidRPr="00520EEA">
        <w:t>,</w:t>
      </w:r>
      <w:r w:rsidR="00DA52C5" w:rsidRPr="00520EEA">
        <w:t xml:space="preserve"> </w:t>
      </w:r>
      <w:r w:rsidR="00520EEA" w:rsidRPr="00520EEA">
        <w:rPr>
          <w:sz w:val="23"/>
          <w:szCs w:val="23"/>
        </w:rPr>
        <w:t xml:space="preserve">in force </w:t>
      </w:r>
      <w:r w:rsidR="00520EEA" w:rsidRPr="000568B5">
        <w:rPr>
          <w:szCs w:val="24"/>
        </w:rPr>
        <w:t>until 30 June</w:t>
      </w:r>
      <w:r w:rsidR="000568B5">
        <w:rPr>
          <w:szCs w:val="24"/>
        </w:rPr>
        <w:t> </w:t>
      </w:r>
      <w:r w:rsidR="00520EEA" w:rsidRPr="000568B5">
        <w:rPr>
          <w:szCs w:val="24"/>
        </w:rPr>
        <w:t>2001,</w:t>
      </w:r>
      <w:r w:rsidR="00520EEA" w:rsidRPr="00520EEA">
        <w:rPr>
          <w:sz w:val="23"/>
          <w:szCs w:val="23"/>
        </w:rPr>
        <w:t xml:space="preserve"> </w:t>
      </w:r>
      <w:r w:rsidR="00C94E14" w:rsidRPr="00520EEA">
        <w:rPr>
          <w:sz w:val="23"/>
          <w:szCs w:val="23"/>
        </w:rPr>
        <w:t xml:space="preserve">states </w:t>
      </w:r>
      <w:r w:rsidR="00EC4972" w:rsidRPr="00520EEA">
        <w:rPr>
          <w:sz w:val="23"/>
          <w:szCs w:val="23"/>
        </w:rPr>
        <w:t xml:space="preserve">in respect of </w:t>
      </w:r>
      <w:r w:rsidR="00DA52C5" w:rsidRPr="00520EEA">
        <w:rPr>
          <w:rStyle w:val="JuHArticleChar"/>
          <w:b w:val="0"/>
        </w:rPr>
        <w:t>compensation for non-pecuniary damage:</w:t>
      </w:r>
    </w:p>
    <w:p w:rsidR="00DA52C5" w:rsidRDefault="00DA52C5" w:rsidP="0039636F">
      <w:pPr>
        <w:pStyle w:val="JuQuot"/>
      </w:pPr>
      <w:r w:rsidRPr="00520EEA">
        <w:t>“</w:t>
      </w:r>
      <w:r w:rsidR="005A0083" w:rsidRPr="00520EEA">
        <w:t>M</w:t>
      </w:r>
      <w:r w:rsidRPr="00520EEA">
        <w:t>edia, organisations or persons who publish false information degrading the</w:t>
      </w:r>
      <w:r w:rsidRPr="007B02F5">
        <w:t xml:space="preserve"> honour and dignity of </w:t>
      </w:r>
      <w:r>
        <w:t>a</w:t>
      </w:r>
      <w:r w:rsidRPr="007B02F5">
        <w:t xml:space="preserve"> person</w:t>
      </w:r>
      <w:r>
        <w:t>,</w:t>
      </w:r>
      <w:r w:rsidRPr="007B02F5">
        <w:t xml:space="preserve"> </w:t>
      </w:r>
      <w:r w:rsidR="00EC4972">
        <w:t>or</w:t>
      </w:r>
      <w:r w:rsidRPr="007B02F5">
        <w:t xml:space="preserve"> information about </w:t>
      </w:r>
      <w:r>
        <w:t xml:space="preserve">a </w:t>
      </w:r>
      <w:r w:rsidRPr="007B02F5">
        <w:t>person</w:t>
      </w:r>
      <w:r w:rsidR="00CE66E6">
        <w:t>’</w:t>
      </w:r>
      <w:r w:rsidRPr="007B02F5">
        <w:t>s private life without the consent of that person</w:t>
      </w:r>
      <w:r>
        <w:t>,</w:t>
      </w:r>
      <w:r w:rsidRPr="007B02F5">
        <w:t xml:space="preserve"> shall pay compensation for </w:t>
      </w:r>
      <w:r>
        <w:t>non-pecuniary</w:t>
      </w:r>
      <w:r w:rsidRPr="007B02F5">
        <w:t xml:space="preserve"> damage. The court</w:t>
      </w:r>
      <w:r>
        <w:t>s will</w:t>
      </w:r>
      <w:r w:rsidRPr="007B02F5">
        <w:t xml:space="preserve"> assess the amount of the compensation</w:t>
      </w:r>
      <w:r w:rsidR="00EC4972">
        <w:t xml:space="preserve"> at</w:t>
      </w:r>
      <w:r w:rsidRPr="007B02F5">
        <w:t xml:space="preserve"> between five hundred and ten thousand lita</w:t>
      </w:r>
      <w:r>
        <w:t>i</w:t>
      </w:r>
      <w:r w:rsidRPr="007B02F5">
        <w:t>.</w:t>
      </w:r>
    </w:p>
    <w:p w:rsidR="00DA52C5" w:rsidRPr="007B02F5" w:rsidRDefault="00DA52C5" w:rsidP="0039636F">
      <w:pPr>
        <w:pStyle w:val="JuQuot"/>
      </w:pPr>
      <w:r w:rsidRPr="007B02F5">
        <w:t xml:space="preserve">In assessing monetary compensation for </w:t>
      </w:r>
      <w:r>
        <w:t>the non-pecuniary</w:t>
      </w:r>
      <w:r w:rsidRPr="007B02F5">
        <w:t xml:space="preserve"> damage caused, the court</w:t>
      </w:r>
      <w:r>
        <w:t>s</w:t>
      </w:r>
      <w:r w:rsidRPr="007B02F5">
        <w:t xml:space="preserve"> shall take into consideration </w:t>
      </w:r>
      <w:r>
        <w:t xml:space="preserve">the </w:t>
      </w:r>
      <w:r w:rsidRPr="007B02F5">
        <w:t xml:space="preserve">financial status of the person who </w:t>
      </w:r>
      <w:r>
        <w:t xml:space="preserve">has </w:t>
      </w:r>
      <w:r w:rsidRPr="007B02F5">
        <w:t>caused the damage, the gravity and consequences of the violation and other circumstances important to the case.”</w:t>
      </w:r>
    </w:p>
    <w:p w:rsidR="00DA52C5" w:rsidRPr="007B02F5" w:rsidRDefault="00C40812" w:rsidP="0039636F">
      <w:pPr>
        <w:pStyle w:val="JuPara"/>
      </w:pPr>
      <w:r w:rsidRPr="007B02F5">
        <w:fldChar w:fldCharType="begin"/>
      </w:r>
      <w:r w:rsidR="00DA52C5" w:rsidRPr="007B02F5">
        <w:instrText xml:space="preserve"> SEQ level0 \*arabic </w:instrText>
      </w:r>
      <w:r w:rsidRPr="007B02F5">
        <w:fldChar w:fldCharType="separate"/>
      </w:r>
      <w:r w:rsidR="006E0C02">
        <w:rPr>
          <w:noProof/>
        </w:rPr>
        <w:t>29</w:t>
      </w:r>
      <w:r w:rsidRPr="007B02F5">
        <w:fldChar w:fldCharType="end"/>
      </w:r>
      <w:r w:rsidR="00DA52C5" w:rsidRPr="007B02F5">
        <w:t xml:space="preserve">.  The relevant provisions of the </w:t>
      </w:r>
      <w:r w:rsidR="00DA52C5">
        <w:t>Law on the Provision of Information to the Public</w:t>
      </w:r>
      <w:r w:rsidR="00EC4972">
        <w:t>,</w:t>
      </w:r>
      <w:r w:rsidR="00C94E14">
        <w:t xml:space="preserve"> in force</w:t>
      </w:r>
      <w:r w:rsidR="00DA52C5" w:rsidRPr="007B02F5">
        <w:t xml:space="preserve"> </w:t>
      </w:r>
      <w:r w:rsidR="00DA52C5">
        <w:t>at the material time</w:t>
      </w:r>
      <w:r w:rsidR="00EC4972">
        <w:t>,</w:t>
      </w:r>
      <w:r w:rsidR="00DA52C5">
        <w:t xml:space="preserve"> </w:t>
      </w:r>
      <w:r w:rsidR="00DA52C5" w:rsidRPr="007B02F5">
        <w:t>read as follows:</w:t>
      </w:r>
    </w:p>
    <w:p w:rsidR="00DA52C5" w:rsidRPr="007B02F5" w:rsidRDefault="00DA52C5" w:rsidP="0039636F">
      <w:pPr>
        <w:pStyle w:val="JuHArticle"/>
      </w:pPr>
      <w:r w:rsidRPr="007B02F5">
        <w:t>Article 14. Protection of Privacy</w:t>
      </w:r>
    </w:p>
    <w:p w:rsidR="00DA52C5" w:rsidRPr="007B02F5" w:rsidRDefault="00DA52C5" w:rsidP="0039636F">
      <w:pPr>
        <w:pStyle w:val="JuQuot"/>
      </w:pPr>
      <w:r w:rsidRPr="007B02F5">
        <w:t>“1. In producing and disseminatin</w:t>
      </w:r>
      <w:r>
        <w:t>g</w:t>
      </w:r>
      <w:r w:rsidRPr="007B02F5">
        <w:t xml:space="preserve"> public information</w:t>
      </w:r>
      <w:r>
        <w:t>,</w:t>
      </w:r>
      <w:r w:rsidRPr="007B02F5">
        <w:t xml:space="preserve"> it is mandatory to ensure a person</w:t>
      </w:r>
      <w:r w:rsidR="00CE66E6">
        <w:t>’</w:t>
      </w:r>
      <w:r w:rsidRPr="007B02F5">
        <w:t>s right to have his personal and family life respected.</w:t>
      </w:r>
    </w:p>
    <w:p w:rsidR="00DA52C5" w:rsidRPr="007B02F5" w:rsidRDefault="00DA52C5" w:rsidP="0039636F">
      <w:pPr>
        <w:pStyle w:val="JuQuot"/>
      </w:pPr>
      <w:r w:rsidRPr="007B02F5">
        <w:t>2. Information about a person</w:t>
      </w:r>
      <w:r w:rsidR="00CE66E6">
        <w:t>’</w:t>
      </w:r>
      <w:r w:rsidRPr="007B02F5">
        <w:t>s private life may be published</w:t>
      </w:r>
      <w:r>
        <w:t>,</w:t>
      </w:r>
      <w:r w:rsidRPr="007B02F5">
        <w:t xml:space="preserve"> with the exception of the instances stipulated in paragraph three of this Article, only with the consent of that person and if publication of the information </w:t>
      </w:r>
      <w:r>
        <w:t>does</w:t>
      </w:r>
      <w:r w:rsidRPr="007B02F5">
        <w:t xml:space="preserve"> not cause undue harm to th</w:t>
      </w:r>
      <w:r>
        <w:t>at</w:t>
      </w:r>
      <w:r w:rsidRPr="007B02F5">
        <w:t xml:space="preserve"> </w:t>
      </w:r>
      <w:r>
        <w:t>individual</w:t>
      </w:r>
      <w:r w:rsidRPr="007B02F5">
        <w:t>.</w:t>
      </w:r>
    </w:p>
    <w:p w:rsidR="00DA52C5" w:rsidRPr="007B02F5" w:rsidRDefault="00DA52C5" w:rsidP="0039636F">
      <w:pPr>
        <w:pStyle w:val="JuQuot"/>
      </w:pPr>
      <w:r w:rsidRPr="007B02F5">
        <w:t xml:space="preserve">3. Information concerning </w:t>
      </w:r>
      <w:r w:rsidR="00EC4972">
        <w:t>a person</w:t>
      </w:r>
      <w:r w:rsidR="00CE66E6">
        <w:t>’</w:t>
      </w:r>
      <w:r w:rsidR="00EC4972">
        <w:t xml:space="preserve">s </w:t>
      </w:r>
      <w:r w:rsidRPr="007B02F5">
        <w:t xml:space="preserve">private life may be published without </w:t>
      </w:r>
      <w:r w:rsidR="005933AE">
        <w:t>his</w:t>
      </w:r>
      <w:r w:rsidRPr="007B02F5">
        <w:t xml:space="preserve"> consent in those cases whe</w:t>
      </w:r>
      <w:r w:rsidR="00EC4972">
        <w:t>re</w:t>
      </w:r>
      <w:r w:rsidRPr="007B02F5">
        <w:t xml:space="preserve"> </w:t>
      </w:r>
      <w:r>
        <w:t>publication</w:t>
      </w:r>
      <w:r w:rsidRPr="007B02F5">
        <w:t xml:space="preserve"> of the information </w:t>
      </w:r>
      <w:r>
        <w:t>does</w:t>
      </w:r>
      <w:r w:rsidRPr="007B02F5">
        <w:t xml:space="preserve"> not </w:t>
      </w:r>
      <w:r>
        <w:t>cause</w:t>
      </w:r>
      <w:r w:rsidRPr="007B02F5">
        <w:t xml:space="preserve"> harm to the person or whe</w:t>
      </w:r>
      <w:r w:rsidR="004B5C05">
        <w:t>re</w:t>
      </w:r>
      <w:r w:rsidRPr="007B02F5">
        <w:t xml:space="preserve"> the information assist</w:t>
      </w:r>
      <w:r>
        <w:t>s</w:t>
      </w:r>
      <w:r w:rsidRPr="007B02F5">
        <w:t xml:space="preserve"> in uncovering violations </w:t>
      </w:r>
      <w:r>
        <w:t xml:space="preserve">of the </w:t>
      </w:r>
      <w:r w:rsidRPr="007B02F5">
        <w:t>law or crimes</w:t>
      </w:r>
      <w:r>
        <w:t>,</w:t>
      </w:r>
      <w:r w:rsidRPr="007B02F5">
        <w:t xml:space="preserve"> </w:t>
      </w:r>
      <w:r>
        <w:t>as well as whe</w:t>
      </w:r>
      <w:r w:rsidR="00EC4972">
        <w:t>re</w:t>
      </w:r>
      <w:r w:rsidRPr="007B02F5">
        <w:t xml:space="preserve"> the information </w:t>
      </w:r>
      <w:r>
        <w:t>is</w:t>
      </w:r>
      <w:r w:rsidRPr="007B02F5">
        <w:t xml:space="preserve"> presented in the examination of </w:t>
      </w:r>
      <w:r w:rsidR="00EC4972">
        <w:t>a</w:t>
      </w:r>
      <w:r w:rsidR="00EC4972" w:rsidRPr="007B02F5">
        <w:t xml:space="preserve"> </w:t>
      </w:r>
      <w:r w:rsidRPr="007B02F5">
        <w:t xml:space="preserve">case in an open court process. </w:t>
      </w:r>
      <w:r>
        <w:t>...</w:t>
      </w:r>
      <w:r w:rsidRPr="007B02F5">
        <w:t>”</w:t>
      </w:r>
    </w:p>
    <w:p w:rsidR="00DA52C5" w:rsidRPr="007B02F5" w:rsidRDefault="00DA52C5" w:rsidP="0039636F">
      <w:pPr>
        <w:pStyle w:val="JuHArticle"/>
      </w:pPr>
      <w:r w:rsidRPr="007B02F5">
        <w:t>Article 54. Compensation for pecuniary and non-pecuniary damage</w:t>
      </w:r>
    </w:p>
    <w:p w:rsidR="00DA52C5" w:rsidRPr="007B02F5" w:rsidRDefault="00DA52C5" w:rsidP="0039636F">
      <w:pPr>
        <w:pStyle w:val="JuQuot"/>
      </w:pPr>
      <w:r w:rsidRPr="007B02F5">
        <w:t>“1. A producer and (or) disseminator of public information who publishes information about an individual</w:t>
      </w:r>
      <w:r w:rsidR="00CE66E6">
        <w:t>’</w:t>
      </w:r>
      <w:r w:rsidRPr="007B02F5">
        <w:t xml:space="preserve">s private life </w:t>
      </w:r>
      <w:r>
        <w:t xml:space="preserve">... </w:t>
      </w:r>
      <w:r w:rsidRPr="007B02F5">
        <w:t>without the natural person</w:t>
      </w:r>
      <w:r w:rsidR="00CE66E6">
        <w:t>’</w:t>
      </w:r>
      <w:r w:rsidRPr="007B02F5">
        <w:t xml:space="preserve">s consent, also a producer who publishes false information degrading to the honour and dignity of </w:t>
      </w:r>
      <w:r w:rsidR="00EC4972">
        <w:t>a</w:t>
      </w:r>
      <w:r w:rsidR="00EC4972" w:rsidRPr="007B02F5">
        <w:t xml:space="preserve"> </w:t>
      </w:r>
      <w:r w:rsidRPr="007B02F5">
        <w:t>person</w:t>
      </w:r>
      <w:r>
        <w:t>,</w:t>
      </w:r>
      <w:r w:rsidRPr="007B02F5">
        <w:t xml:space="preserve"> shall pay compensation for non-pecuniary damage to that person in </w:t>
      </w:r>
      <w:r w:rsidR="00EC4972">
        <w:t>the</w:t>
      </w:r>
      <w:r w:rsidR="00EC4972" w:rsidRPr="007B02F5">
        <w:t xml:space="preserve"> </w:t>
      </w:r>
      <w:r w:rsidRPr="007B02F5">
        <w:t>manner set forth by law. The amount of the compensation for non-pecuniary damage may not be in excess of 10,000</w:t>
      </w:r>
      <w:r w:rsidR="0081136A">
        <w:t xml:space="preserve"> litai</w:t>
      </w:r>
      <w:r w:rsidRPr="007B02F5">
        <w:t xml:space="preserve">, except for cases when the court establishes that </w:t>
      </w:r>
      <w:r w:rsidRPr="009D2C62">
        <w:t>false information</w:t>
      </w:r>
      <w:r w:rsidRPr="007B02F5">
        <w:t xml:space="preserve"> degrading the honour and dignity of a person has been published intentionally. In such cases the amount may, by a decision of a court, be increased</w:t>
      </w:r>
      <w:r>
        <w:t>,</w:t>
      </w:r>
      <w:r w:rsidRPr="007B02F5">
        <w:t xml:space="preserve"> but not more than five</w:t>
      </w:r>
      <w:r>
        <w:t>fold</w:t>
      </w:r>
      <w:r w:rsidRPr="007B02F5">
        <w:t>. In each case the amount awarded to the plaintiff may not be in excess of five per</w:t>
      </w:r>
      <w:r w:rsidR="00EC4972">
        <w:t xml:space="preserve"> </w:t>
      </w:r>
      <w:r w:rsidRPr="007B02F5">
        <w:t xml:space="preserve">cent of the annual income of the publisher and (or) disseminator of public information. </w:t>
      </w:r>
      <w:r>
        <w:t>...</w:t>
      </w:r>
    </w:p>
    <w:p w:rsidR="00DA52C5" w:rsidRPr="007B02F5" w:rsidRDefault="00DA52C5" w:rsidP="0039636F">
      <w:pPr>
        <w:pStyle w:val="JuQuot"/>
      </w:pPr>
      <w:r w:rsidRPr="007B02F5">
        <w:t xml:space="preserve">4. </w:t>
      </w:r>
      <w:r>
        <w:t>In d</w:t>
      </w:r>
      <w:r w:rsidRPr="007B02F5">
        <w:t>etermining the amount of monetary compensation for non-pecuniary damage, the court</w:t>
      </w:r>
      <w:r>
        <w:t>s</w:t>
      </w:r>
      <w:r w:rsidRPr="007B02F5">
        <w:t xml:space="preserve"> shall take into account the financial circumstances of the person who caused the damage, the gravity of the offence, its consequences</w:t>
      </w:r>
      <w:r w:rsidR="00EC4972">
        <w:t>,</w:t>
      </w:r>
      <w:r w:rsidRPr="007B02F5">
        <w:t xml:space="preserve"> and other significant circumstances. </w:t>
      </w:r>
      <w:r>
        <w:t>...</w:t>
      </w:r>
      <w:r w:rsidRPr="007B02F5">
        <w:t>”</w:t>
      </w:r>
    </w:p>
    <w:p w:rsidR="00DA52C5" w:rsidRPr="007B02F5" w:rsidRDefault="00C40812" w:rsidP="0039636F">
      <w:pPr>
        <w:pStyle w:val="JuPara"/>
      </w:pPr>
      <w:r w:rsidRPr="007B02F5">
        <w:fldChar w:fldCharType="begin"/>
      </w:r>
      <w:r w:rsidR="00DA52C5" w:rsidRPr="007B02F5">
        <w:instrText xml:space="preserve"> SEQ level0 \*arabic </w:instrText>
      </w:r>
      <w:r w:rsidRPr="007B02F5">
        <w:fldChar w:fldCharType="separate"/>
      </w:r>
      <w:r w:rsidR="006E0C02">
        <w:rPr>
          <w:noProof/>
        </w:rPr>
        <w:t>30</w:t>
      </w:r>
      <w:r w:rsidRPr="007B02F5">
        <w:fldChar w:fldCharType="end"/>
      </w:r>
      <w:r w:rsidR="00DA52C5" w:rsidRPr="007B02F5">
        <w:t xml:space="preserve">.  Article 52 of the Law on the Health System, </w:t>
      </w:r>
      <w:r w:rsidR="00DA52C5">
        <w:t>restricting the disclosure of information about a person</w:t>
      </w:r>
      <w:r w:rsidR="00CE66E6">
        <w:t>’</w:t>
      </w:r>
      <w:r w:rsidR="00DA52C5">
        <w:t xml:space="preserve">s health, </w:t>
      </w:r>
      <w:r w:rsidR="00EC4972">
        <w:t xml:space="preserve">in force </w:t>
      </w:r>
      <w:r w:rsidR="00DA52C5" w:rsidRPr="008E30E6">
        <w:rPr>
          <w:sz w:val="23"/>
          <w:szCs w:val="23"/>
        </w:rPr>
        <w:t>at the material time</w:t>
      </w:r>
      <w:r w:rsidR="00EC4972">
        <w:rPr>
          <w:sz w:val="23"/>
          <w:szCs w:val="23"/>
        </w:rPr>
        <w:t>,</w:t>
      </w:r>
      <w:r w:rsidR="00DA52C5" w:rsidRPr="007B02F5">
        <w:t xml:space="preserve"> provided</w:t>
      </w:r>
      <w:r w:rsidR="00DA52C5">
        <w:t xml:space="preserve"> as follows</w:t>
      </w:r>
      <w:r w:rsidR="00DA52C5" w:rsidRPr="007B02F5">
        <w:t>:</w:t>
      </w:r>
    </w:p>
    <w:p w:rsidR="00DA52C5" w:rsidRDefault="00DA52C5" w:rsidP="0039636F">
      <w:pPr>
        <w:pStyle w:val="JuQuot"/>
        <w:rPr>
          <w:lang w:eastAsia="en-GB"/>
        </w:rPr>
      </w:pPr>
      <w:r w:rsidRPr="007B02F5" w:rsidDel="001267B2">
        <w:rPr>
          <w:lang w:eastAsia="en-GB"/>
        </w:rPr>
        <w:t xml:space="preserve"> </w:t>
      </w:r>
      <w:r w:rsidRPr="007B02F5">
        <w:rPr>
          <w:lang w:eastAsia="en-GB"/>
        </w:rPr>
        <w:t xml:space="preserve">“1. Restriction </w:t>
      </w:r>
      <w:r w:rsidR="00EC4972">
        <w:rPr>
          <w:lang w:eastAsia="en-GB"/>
        </w:rPr>
        <w:t xml:space="preserve">of </w:t>
      </w:r>
      <w:r>
        <w:rPr>
          <w:lang w:eastAsia="en-GB"/>
        </w:rPr>
        <w:t>the disclosure of</w:t>
      </w:r>
      <w:r w:rsidRPr="007B02F5">
        <w:rPr>
          <w:lang w:eastAsia="en-GB"/>
        </w:rPr>
        <w:t xml:space="preserve"> information about </w:t>
      </w:r>
      <w:r>
        <w:rPr>
          <w:lang w:eastAsia="en-GB"/>
        </w:rPr>
        <w:t xml:space="preserve">the </w:t>
      </w:r>
      <w:r w:rsidRPr="007B02F5">
        <w:rPr>
          <w:lang w:eastAsia="en-GB"/>
        </w:rPr>
        <w:t xml:space="preserve">state of health of a person </w:t>
      </w:r>
      <w:r>
        <w:rPr>
          <w:lang w:eastAsia="en-GB"/>
        </w:rPr>
        <w:t>is intended</w:t>
      </w:r>
      <w:r w:rsidRPr="007B02F5">
        <w:rPr>
          <w:lang w:eastAsia="en-GB"/>
        </w:rPr>
        <w:t xml:space="preserve"> to guarantee the inviolability of his private life and state of health.</w:t>
      </w:r>
    </w:p>
    <w:p w:rsidR="00DA52C5" w:rsidRDefault="00DA52C5" w:rsidP="0039636F">
      <w:pPr>
        <w:pStyle w:val="JuQuot"/>
        <w:rPr>
          <w:lang w:eastAsia="en-GB"/>
        </w:rPr>
      </w:pPr>
      <w:r w:rsidRPr="007B02F5">
        <w:rPr>
          <w:lang w:eastAsia="en-GB"/>
        </w:rPr>
        <w:t xml:space="preserve">2. It shall be forbidden to make public in </w:t>
      </w:r>
      <w:r>
        <w:rPr>
          <w:lang w:eastAsia="en-GB"/>
        </w:rPr>
        <w:t xml:space="preserve">the </w:t>
      </w:r>
      <w:r w:rsidRPr="007B02F5">
        <w:rPr>
          <w:lang w:eastAsia="en-GB"/>
        </w:rPr>
        <w:t xml:space="preserve">media information about the state of health of a person without his written </w:t>
      </w:r>
      <w:r w:rsidR="0000305A" w:rsidRPr="007B02F5">
        <w:rPr>
          <w:lang w:eastAsia="en-GB"/>
        </w:rPr>
        <w:t>authorisation</w:t>
      </w:r>
      <w:r w:rsidR="0000305A">
        <w:rPr>
          <w:lang w:eastAsia="en-GB"/>
        </w:rPr>
        <w:t>...</w:t>
      </w:r>
    </w:p>
    <w:p w:rsidR="00DA52C5" w:rsidRPr="007B02F5" w:rsidRDefault="00DA52C5" w:rsidP="0039636F">
      <w:pPr>
        <w:pStyle w:val="JuQuot"/>
      </w:pPr>
      <w:r w:rsidRPr="007B02F5">
        <w:rPr>
          <w:lang w:eastAsia="en-GB"/>
        </w:rPr>
        <w:t xml:space="preserve">3. </w:t>
      </w:r>
      <w:r w:rsidRPr="007B02F5">
        <w:t>Ind</w:t>
      </w:r>
      <w:r w:rsidR="006F30C8">
        <w:t>ividual</w:t>
      </w:r>
      <w:r w:rsidR="000960F3">
        <w:t>s</w:t>
      </w:r>
      <w:r w:rsidR="006F30C8">
        <w:t xml:space="preserve"> or </w:t>
      </w:r>
      <w:r w:rsidRPr="007B02F5">
        <w:t>public</w:t>
      </w:r>
      <w:r w:rsidR="006F30C8">
        <w:t xml:space="preserve"> </w:t>
      </w:r>
      <w:r w:rsidRPr="007B02F5">
        <w:t>health</w:t>
      </w:r>
      <w:r w:rsidR="00EC4972">
        <w:t>-</w:t>
      </w:r>
      <w:r w:rsidRPr="007B02F5">
        <w:t>care</w:t>
      </w:r>
      <w:r w:rsidR="006F30C8">
        <w:t xml:space="preserve"> specialists </w:t>
      </w:r>
      <w:r w:rsidRPr="007B02F5">
        <w:t>shall</w:t>
      </w:r>
      <w:r w:rsidR="006F30C8">
        <w:t xml:space="preserve"> refrain </w:t>
      </w:r>
      <w:r>
        <w:t>...</w:t>
      </w:r>
      <w:r w:rsidR="006F30C8">
        <w:t xml:space="preserve"> from </w:t>
      </w:r>
      <w:r w:rsidRPr="007B02F5">
        <w:t xml:space="preserve">violating </w:t>
      </w:r>
      <w:r>
        <w:t>the</w:t>
      </w:r>
      <w:r w:rsidR="006F30C8">
        <w:t xml:space="preserve"> </w:t>
      </w:r>
      <w:r w:rsidRPr="007B02F5">
        <w:rPr>
          <w:lang w:eastAsia="en-GB"/>
        </w:rPr>
        <w:t>confidentiality</w:t>
      </w:r>
      <w:r w:rsidRPr="007B02F5">
        <w:t xml:space="preserve"> of </w:t>
      </w:r>
      <w:r>
        <w:t>information</w:t>
      </w:r>
      <w:r w:rsidR="006F30C8">
        <w:t xml:space="preserve"> about </w:t>
      </w:r>
      <w:r>
        <w:t>an individual</w:t>
      </w:r>
      <w:r w:rsidR="00CE66E6">
        <w:t>’</w:t>
      </w:r>
      <w:r w:rsidRPr="007B02F5">
        <w:t>s</w:t>
      </w:r>
      <w:r w:rsidR="006F30C8">
        <w:t xml:space="preserve"> </w:t>
      </w:r>
      <w:r w:rsidRPr="007B02F5">
        <w:t>private life or personal health</w:t>
      </w:r>
      <w:r>
        <w:t xml:space="preserve"> ...</w:t>
      </w:r>
      <w:r w:rsidR="006F30C8">
        <w:t xml:space="preserve"> which they have acquired while performing their professional </w:t>
      </w:r>
      <w:r w:rsidRPr="007B02F5">
        <w:t>duties.”</w:t>
      </w:r>
    </w:p>
    <w:p w:rsidR="00DA52C5" w:rsidRDefault="00C40812" w:rsidP="0039636F">
      <w:pPr>
        <w:pStyle w:val="JuPara"/>
      </w:pPr>
      <w:r w:rsidRPr="007B02F5">
        <w:fldChar w:fldCharType="begin"/>
      </w:r>
      <w:r w:rsidR="00DA52C5" w:rsidRPr="007B02F5">
        <w:instrText xml:space="preserve"> SEQ level0 \*arabic </w:instrText>
      </w:r>
      <w:r w:rsidRPr="007B02F5">
        <w:fldChar w:fldCharType="separate"/>
      </w:r>
      <w:r w:rsidR="006E0C02">
        <w:rPr>
          <w:noProof/>
        </w:rPr>
        <w:t>31</w:t>
      </w:r>
      <w:r w:rsidRPr="007B02F5">
        <w:fldChar w:fldCharType="end"/>
      </w:r>
      <w:r w:rsidR="00DA52C5" w:rsidRPr="007B02F5">
        <w:t xml:space="preserve">.  Ruling </w:t>
      </w:r>
      <w:r w:rsidR="006F30C8" w:rsidRPr="007B02F5">
        <w:t xml:space="preserve">no. 1 </w:t>
      </w:r>
      <w:r w:rsidR="00DA52C5" w:rsidRPr="007B02F5">
        <w:t>of the Senate of Judges of the Supreme Court of Lithuania of 15 May</w:t>
      </w:r>
      <w:r w:rsidR="0081136A">
        <w:t> </w:t>
      </w:r>
      <w:r w:rsidR="00DA52C5" w:rsidRPr="007B02F5">
        <w:t>1998 “On the application of Articles</w:t>
      </w:r>
      <w:r w:rsidR="0081136A">
        <w:t> </w:t>
      </w:r>
      <w:r w:rsidR="00DA52C5" w:rsidRPr="007B02F5">
        <w:t>7 and</w:t>
      </w:r>
      <w:r w:rsidR="0081136A">
        <w:t> </w:t>
      </w:r>
      <w:r w:rsidR="00DA52C5" w:rsidRPr="007B02F5">
        <w:t>7</w:t>
      </w:r>
      <w:r w:rsidR="00C94E14">
        <w:rPr>
          <w:rFonts w:ascii="Times New (W1)" w:hAnsi="Times New (W1)"/>
        </w:rPr>
        <w:t>(1)</w:t>
      </w:r>
      <w:r w:rsidR="00DA52C5" w:rsidRPr="007B02F5">
        <w:t xml:space="preserve"> of the Civil Code and the </w:t>
      </w:r>
      <w:r w:rsidR="00DA52C5">
        <w:t>Law on the Provision of Information to the Public</w:t>
      </w:r>
      <w:r w:rsidR="00DA52C5" w:rsidRPr="007B02F5">
        <w:t xml:space="preserve"> in the case-law of the courts examining civil cases </w:t>
      </w:r>
      <w:r w:rsidR="00DA52C5">
        <w:t xml:space="preserve">on the </w:t>
      </w:r>
      <w:r w:rsidR="00DA52C5" w:rsidRPr="007B02F5">
        <w:t>protection of honour and dignity”, in</w:t>
      </w:r>
      <w:r w:rsidR="00DA52C5">
        <w:t xml:space="preserve"> </w:t>
      </w:r>
      <w:r w:rsidR="00DA52C5" w:rsidRPr="007B02F5">
        <w:t>so</w:t>
      </w:r>
      <w:r w:rsidR="00DA52C5">
        <w:t xml:space="preserve"> </w:t>
      </w:r>
      <w:r w:rsidR="00DA52C5" w:rsidRPr="007B02F5">
        <w:t>far as relevant, provide</w:t>
      </w:r>
      <w:r w:rsidR="00DA52C5">
        <w:t>d</w:t>
      </w:r>
      <w:r w:rsidR="00DA52C5" w:rsidRPr="00D86626">
        <w:t xml:space="preserve"> </w:t>
      </w:r>
      <w:r w:rsidR="00DA52C5">
        <w:t>as follows</w:t>
      </w:r>
      <w:r w:rsidR="00DA52C5" w:rsidRPr="007B02F5">
        <w:t>:</w:t>
      </w:r>
    </w:p>
    <w:p w:rsidR="00DA52C5" w:rsidRPr="007B02F5" w:rsidRDefault="00DA52C5" w:rsidP="0039636F">
      <w:pPr>
        <w:pStyle w:val="JuQuot"/>
      </w:pPr>
      <w:r w:rsidRPr="007B02F5">
        <w:t xml:space="preserve">“18. </w:t>
      </w:r>
      <w:r>
        <w:t>...</w:t>
      </w:r>
      <w:r w:rsidRPr="007B02F5">
        <w:t xml:space="preserve"> </w:t>
      </w:r>
      <w:r w:rsidR="006F30C8">
        <w:t>The p</w:t>
      </w:r>
      <w:r w:rsidRPr="007B02F5">
        <w:t>rivacy of the person should be protected whe</w:t>
      </w:r>
      <w:r w:rsidR="004B5C05">
        <w:t>re</w:t>
      </w:r>
      <w:r w:rsidRPr="007B02F5">
        <w:t xml:space="preserve"> it is established that information about </w:t>
      </w:r>
      <w:r>
        <w:t xml:space="preserve">a </w:t>
      </w:r>
      <w:r w:rsidRPr="007B02F5">
        <w:t>person</w:t>
      </w:r>
      <w:r w:rsidR="00CE66E6">
        <w:t>’</w:t>
      </w:r>
      <w:r>
        <w:t>s</w:t>
      </w:r>
      <w:r w:rsidRPr="007B02F5">
        <w:t xml:space="preserve"> private life </w:t>
      </w:r>
      <w:r>
        <w:t>has been</w:t>
      </w:r>
      <w:r w:rsidRPr="007B02F5">
        <w:t xml:space="preserve"> disseminated without his </w:t>
      </w:r>
      <w:r>
        <w:t xml:space="preserve">or her </w:t>
      </w:r>
      <w:r w:rsidRPr="007B02F5">
        <w:t xml:space="preserve">consent and in the absence of lawful public interest. Lawful public interest is to be understood as the right of society to receive information about </w:t>
      </w:r>
      <w:r>
        <w:t xml:space="preserve">the </w:t>
      </w:r>
      <w:r w:rsidRPr="007B02F5">
        <w:t xml:space="preserve">private life of </w:t>
      </w:r>
      <w:r>
        <w:t>a</w:t>
      </w:r>
      <w:r w:rsidRPr="007B02F5">
        <w:t xml:space="preserve"> person </w:t>
      </w:r>
      <w:r>
        <w:t>...</w:t>
      </w:r>
      <w:r w:rsidRPr="007B02F5">
        <w:t xml:space="preserve"> </w:t>
      </w:r>
      <w:r>
        <w:t>where</w:t>
      </w:r>
      <w:r w:rsidRPr="007B02F5">
        <w:t xml:space="preserve"> it is necessary to protect the rights and freedoms of others from negative impact. The rights of the person are protected irrespective of whether the disseminated information degrades his or her honour and dignity.</w:t>
      </w:r>
      <w:r>
        <w:t>”</w:t>
      </w:r>
    </w:p>
    <w:p w:rsidR="00DA52C5" w:rsidRPr="007B02F5" w:rsidRDefault="00C40812" w:rsidP="0039636F">
      <w:pPr>
        <w:pStyle w:val="JuPara"/>
      </w:pPr>
      <w:r w:rsidRPr="007B02F5">
        <w:fldChar w:fldCharType="begin"/>
      </w:r>
      <w:r w:rsidR="00DA52C5" w:rsidRPr="007B02F5">
        <w:instrText xml:space="preserve"> SEQ level0 \*arabic </w:instrText>
      </w:r>
      <w:r w:rsidRPr="007B02F5">
        <w:fldChar w:fldCharType="separate"/>
      </w:r>
      <w:r w:rsidR="006E0C02">
        <w:rPr>
          <w:noProof/>
        </w:rPr>
        <w:t>32</w:t>
      </w:r>
      <w:r w:rsidRPr="007B02F5">
        <w:fldChar w:fldCharType="end"/>
      </w:r>
      <w:r w:rsidR="00DA52C5" w:rsidRPr="007B02F5">
        <w:t xml:space="preserve">.  The Ruling further </w:t>
      </w:r>
      <w:r w:rsidR="00DA52C5">
        <w:t>stipulated</w:t>
      </w:r>
      <w:r w:rsidR="00DA52C5" w:rsidRPr="007B02F5">
        <w:t xml:space="preserve"> that the producer or disseminator of public information who publishe</w:t>
      </w:r>
      <w:r w:rsidR="006F30C8">
        <w:t>d</w:t>
      </w:r>
      <w:r w:rsidR="00DA52C5" w:rsidRPr="007B02F5">
        <w:t xml:space="preserve"> information about an individual</w:t>
      </w:r>
      <w:r w:rsidR="00CE66E6">
        <w:t>’</w:t>
      </w:r>
      <w:r w:rsidR="00DA52C5" w:rsidRPr="007B02F5">
        <w:t xml:space="preserve">s private life without his or her consent </w:t>
      </w:r>
      <w:r w:rsidR="004B5C05">
        <w:t>had to</w:t>
      </w:r>
      <w:r w:rsidR="004B5C05" w:rsidRPr="007B02F5">
        <w:t xml:space="preserve"> </w:t>
      </w:r>
      <w:r w:rsidR="00DA52C5" w:rsidRPr="007B02F5">
        <w:t xml:space="preserve">compensate for </w:t>
      </w:r>
      <w:r w:rsidR="00C94E14">
        <w:t xml:space="preserve">any </w:t>
      </w:r>
      <w:r w:rsidR="00DA52C5" w:rsidRPr="007B02F5">
        <w:t>non-pecuniary damage</w:t>
      </w:r>
      <w:r w:rsidR="00DA52C5">
        <w:t xml:space="preserve"> caused</w:t>
      </w:r>
      <w:r w:rsidR="00DA52C5" w:rsidRPr="007B02F5">
        <w:t>.</w:t>
      </w:r>
    </w:p>
    <w:p w:rsidR="00404F2A" w:rsidRDefault="00C40812" w:rsidP="0039636F">
      <w:pPr>
        <w:pStyle w:val="JuPara"/>
      </w:pPr>
      <w:r>
        <w:fldChar w:fldCharType="begin"/>
      </w:r>
      <w:r w:rsidR="00FF21AB">
        <w:instrText xml:space="preserve"> SEQ level0 \*arabic </w:instrText>
      </w:r>
      <w:r>
        <w:fldChar w:fldCharType="separate"/>
      </w:r>
      <w:r w:rsidR="006E0C02">
        <w:rPr>
          <w:noProof/>
        </w:rPr>
        <w:t>33</w:t>
      </w:r>
      <w:r>
        <w:fldChar w:fldCharType="end"/>
      </w:r>
      <w:r w:rsidR="00FF21AB">
        <w:t>.  Article</w:t>
      </w:r>
      <w:r w:rsidR="0081136A">
        <w:t> </w:t>
      </w:r>
      <w:r w:rsidR="00FF21AB">
        <w:t xml:space="preserve">299 of the Code of Civil Procedure states that if during the hearing of a civil case the court comes to </w:t>
      </w:r>
      <w:r w:rsidR="00C94E14">
        <w:t xml:space="preserve">the </w:t>
      </w:r>
      <w:r w:rsidR="00FF21AB">
        <w:t xml:space="preserve">conclusion that the persons have violated the law, it </w:t>
      </w:r>
      <w:r w:rsidR="00C94E14">
        <w:t xml:space="preserve">must </w:t>
      </w:r>
      <w:r w:rsidR="00FF21AB">
        <w:t xml:space="preserve">make a separate </w:t>
      </w:r>
      <w:r w:rsidR="009A61D6">
        <w:t>ruling (</w:t>
      </w:r>
      <w:r w:rsidR="009A61D6" w:rsidRPr="009A61D6">
        <w:rPr>
          <w:i/>
        </w:rPr>
        <w:t>atskiroji nutartis</w:t>
      </w:r>
      <w:r w:rsidR="009A61D6">
        <w:t xml:space="preserve">) </w:t>
      </w:r>
      <w:r w:rsidR="00FF21AB">
        <w:t xml:space="preserve">and send it to the appropriate institutions or officials, informing them about the </w:t>
      </w:r>
      <w:r w:rsidR="00DA52C5">
        <w:t>violations</w:t>
      </w:r>
      <w:r w:rsidR="00FF21AB">
        <w:t>.</w:t>
      </w:r>
      <w:r w:rsidR="00505430">
        <w:t xml:space="preserve"> </w:t>
      </w:r>
      <w:r w:rsidR="00883520">
        <w:t>According to the legal doctrine, t</w:t>
      </w:r>
      <w:r w:rsidR="00505430">
        <w:t xml:space="preserve">he aim of a separate </w:t>
      </w:r>
      <w:r w:rsidR="009A61D6">
        <w:t>ruling</w:t>
      </w:r>
      <w:r w:rsidR="00505430">
        <w:t xml:space="preserve"> is to draw </w:t>
      </w:r>
      <w:r w:rsidR="00121CA6">
        <w:t xml:space="preserve">attention to possible </w:t>
      </w:r>
      <w:r w:rsidR="008D2407">
        <w:t xml:space="preserve">infringements </w:t>
      </w:r>
      <w:r w:rsidR="00121CA6">
        <w:t>of law and to protect public interest.</w:t>
      </w:r>
    </w:p>
    <w:p w:rsidR="00F71A6A" w:rsidRPr="005B2522" w:rsidRDefault="00F71A6A" w:rsidP="0039636F">
      <w:pPr>
        <w:pStyle w:val="JuHHead"/>
      </w:pPr>
      <w:r w:rsidRPr="005B2522">
        <w:t>THE LAW</w:t>
      </w:r>
    </w:p>
    <w:p w:rsidR="00F71A6A" w:rsidRPr="005B2522" w:rsidRDefault="00F71A6A" w:rsidP="0039636F">
      <w:pPr>
        <w:pStyle w:val="JuHIRoman"/>
      </w:pPr>
      <w:r w:rsidRPr="005B2522">
        <w:t xml:space="preserve">I.  ALLEGED VIOLATION OF ARTICLE </w:t>
      </w:r>
      <w:r w:rsidR="00F95909">
        <w:t>8</w:t>
      </w:r>
      <w:r w:rsidRPr="005B2522">
        <w:t xml:space="preserve"> OF THE CONVENTION</w:t>
      </w:r>
    </w:p>
    <w:p w:rsidR="00EE2656" w:rsidRPr="007B02F5" w:rsidRDefault="00C40812" w:rsidP="0039636F">
      <w:pPr>
        <w:pStyle w:val="JuPara"/>
        <w:rPr>
          <w:lang w:eastAsia="en-US"/>
        </w:rPr>
      </w:pPr>
      <w:r w:rsidRPr="005B2522">
        <w:fldChar w:fldCharType="begin"/>
      </w:r>
      <w:r w:rsidR="00F22905" w:rsidRPr="005B2522">
        <w:instrText xml:space="preserve"> SEQ level0 \*arabic </w:instrText>
      </w:r>
      <w:r w:rsidRPr="005B2522">
        <w:fldChar w:fldCharType="separate"/>
      </w:r>
      <w:r w:rsidR="006E0C02">
        <w:rPr>
          <w:noProof/>
        </w:rPr>
        <w:t>34</w:t>
      </w:r>
      <w:r w:rsidRPr="005B2522">
        <w:fldChar w:fldCharType="end"/>
      </w:r>
      <w:r w:rsidR="00F71A6A" w:rsidRPr="005B2522">
        <w:t>.  </w:t>
      </w:r>
      <w:r w:rsidR="00F95909" w:rsidRPr="00E223FC">
        <w:t>The applicant complain</w:t>
      </w:r>
      <w:r w:rsidR="00F95909">
        <w:t>ed</w:t>
      </w:r>
      <w:r w:rsidR="00F95909" w:rsidRPr="00E223FC">
        <w:t xml:space="preserve"> </w:t>
      </w:r>
      <w:r w:rsidR="00EE2656" w:rsidRPr="00EE2656">
        <w:rPr>
          <w:szCs w:val="24"/>
        </w:rPr>
        <w:t xml:space="preserve">that </w:t>
      </w:r>
      <w:r w:rsidR="00F95909" w:rsidRPr="00EE2656">
        <w:rPr>
          <w:szCs w:val="24"/>
        </w:rPr>
        <w:t xml:space="preserve">the CWS </w:t>
      </w:r>
      <w:r w:rsidR="00EE2656" w:rsidRPr="00EE2656">
        <w:rPr>
          <w:szCs w:val="24"/>
        </w:rPr>
        <w:t xml:space="preserve">had disclosed </w:t>
      </w:r>
      <w:r w:rsidR="00F95909" w:rsidRPr="00EE2656">
        <w:rPr>
          <w:szCs w:val="24"/>
        </w:rPr>
        <w:t xml:space="preserve">information regarding her private life and </w:t>
      </w:r>
      <w:r w:rsidR="00C94E14">
        <w:rPr>
          <w:szCs w:val="24"/>
        </w:rPr>
        <w:t xml:space="preserve">the </w:t>
      </w:r>
      <w:r w:rsidR="00F95909" w:rsidRPr="00EE2656">
        <w:rPr>
          <w:szCs w:val="24"/>
        </w:rPr>
        <w:t xml:space="preserve">health of her minor son. </w:t>
      </w:r>
      <w:r w:rsidR="00F71A6A" w:rsidRPr="00EE2656">
        <w:rPr>
          <w:szCs w:val="24"/>
        </w:rPr>
        <w:t xml:space="preserve">The </w:t>
      </w:r>
      <w:r w:rsidR="00F22905" w:rsidRPr="00EE2656">
        <w:rPr>
          <w:noProof/>
          <w:szCs w:val="24"/>
        </w:rPr>
        <w:t>applicant</w:t>
      </w:r>
      <w:r w:rsidR="00F71A6A" w:rsidRPr="00EE2656">
        <w:rPr>
          <w:szCs w:val="24"/>
        </w:rPr>
        <w:t xml:space="preserve"> </w:t>
      </w:r>
      <w:r w:rsidR="00EE2656">
        <w:rPr>
          <w:szCs w:val="24"/>
        </w:rPr>
        <w:t>relied on Article</w:t>
      </w:r>
      <w:r w:rsidR="0081136A">
        <w:rPr>
          <w:szCs w:val="24"/>
        </w:rPr>
        <w:t> </w:t>
      </w:r>
      <w:r w:rsidR="00EE2656">
        <w:rPr>
          <w:szCs w:val="24"/>
        </w:rPr>
        <w:t xml:space="preserve">8 of the Convention, </w:t>
      </w:r>
      <w:r w:rsidR="00EE2656" w:rsidRPr="007B02F5">
        <w:t>which reads</w:t>
      </w:r>
      <w:r w:rsidR="00C94E14">
        <w:t>,</w:t>
      </w:r>
      <w:r w:rsidR="00EE2656" w:rsidRPr="007B02F5">
        <w:t xml:space="preserve"> </w:t>
      </w:r>
      <w:r w:rsidR="00EE2656">
        <w:t>in so far as relevant</w:t>
      </w:r>
      <w:r w:rsidR="00C94E14">
        <w:t>,</w:t>
      </w:r>
      <w:r w:rsidR="00EE2656">
        <w:t xml:space="preserve"> </w:t>
      </w:r>
      <w:r w:rsidR="00EE2656" w:rsidRPr="007B02F5">
        <w:t>as follows:</w:t>
      </w:r>
    </w:p>
    <w:p w:rsidR="00EE2656" w:rsidRPr="007B02F5" w:rsidRDefault="00EE2656" w:rsidP="0039636F">
      <w:pPr>
        <w:pStyle w:val="JuQuot"/>
      </w:pPr>
      <w:r w:rsidRPr="007B02F5">
        <w:t xml:space="preserve">“1.  Everyone has the right to respect for his private and family life, </w:t>
      </w:r>
      <w:r>
        <w:t>....</w:t>
      </w:r>
    </w:p>
    <w:p w:rsidR="00EE2656" w:rsidRDefault="00EE2656" w:rsidP="0039636F">
      <w:pPr>
        <w:pStyle w:val="JuQuot"/>
      </w:pPr>
      <w:r w:rsidRPr="007B02F5">
        <w:t>2.  There shall be no interference by a public authority with the exercise of this right</w:t>
      </w:r>
      <w:r w:rsidR="002B2FC4">
        <w:t xml:space="preserve"> except such as is in accordance with the law and is necessary in a democratic society ... for the protection of the rights and freedoms of others </w:t>
      </w:r>
      <w:r w:rsidRPr="00397A66">
        <w:t>...</w:t>
      </w:r>
      <w:r w:rsidRPr="007B02F5">
        <w:t>”</w:t>
      </w:r>
    </w:p>
    <w:p w:rsidR="00EE2656" w:rsidRPr="006874B9" w:rsidRDefault="00EE2656" w:rsidP="0039636F">
      <w:pPr>
        <w:pStyle w:val="JuHA"/>
      </w:pPr>
      <w:r w:rsidRPr="006874B9">
        <w:t>A.</w:t>
      </w:r>
      <w:r>
        <w:t>  </w:t>
      </w:r>
      <w:r w:rsidRPr="006874B9">
        <w:t>The parties</w:t>
      </w:r>
      <w:r w:rsidR="00CE66E6">
        <w:t>’</w:t>
      </w:r>
      <w:r w:rsidRPr="006874B9">
        <w:t xml:space="preserve"> submissions</w:t>
      </w:r>
    </w:p>
    <w:p w:rsidR="00FA7C4E" w:rsidRPr="006874B9" w:rsidRDefault="00FA7C4E" w:rsidP="0039636F">
      <w:pPr>
        <w:pStyle w:val="JuH1"/>
      </w:pPr>
      <w:r w:rsidRPr="006874B9">
        <w:t>1</w:t>
      </w:r>
      <w:r>
        <w:t>.  The applicant</w:t>
      </w:r>
    </w:p>
    <w:p w:rsidR="00F31E37" w:rsidRDefault="00C40812" w:rsidP="0039636F">
      <w:pPr>
        <w:pStyle w:val="JuPara"/>
      </w:pPr>
      <w:r w:rsidRPr="006874B9">
        <w:fldChar w:fldCharType="begin"/>
      </w:r>
      <w:r w:rsidR="00EE2656" w:rsidRPr="006874B9">
        <w:instrText xml:space="preserve"> SEQ level0 \*arabic </w:instrText>
      </w:r>
      <w:r w:rsidRPr="006874B9">
        <w:fldChar w:fldCharType="separate"/>
      </w:r>
      <w:r w:rsidR="006E0C02">
        <w:rPr>
          <w:noProof/>
        </w:rPr>
        <w:t>35</w:t>
      </w:r>
      <w:r w:rsidRPr="006874B9">
        <w:fldChar w:fldCharType="end"/>
      </w:r>
      <w:r w:rsidR="00EE2656" w:rsidRPr="006874B9">
        <w:t xml:space="preserve">. The applicant argued that </w:t>
      </w:r>
      <w:r w:rsidR="00D522F7">
        <w:t xml:space="preserve">in </w:t>
      </w:r>
      <w:r w:rsidR="00C94E14">
        <w:t xml:space="preserve">the article of </w:t>
      </w:r>
      <w:r w:rsidR="00D522F7">
        <w:t>15 June</w:t>
      </w:r>
      <w:r w:rsidR="0081136A">
        <w:t> </w:t>
      </w:r>
      <w:r w:rsidR="00D522F7">
        <w:t xml:space="preserve">2001 in </w:t>
      </w:r>
      <w:r w:rsidR="00D522F7" w:rsidRPr="00C94E14">
        <w:rPr>
          <w:i/>
        </w:rPr>
        <w:t>Lietuvos Aidas</w:t>
      </w:r>
      <w:r w:rsidR="00D522F7">
        <w:t xml:space="preserve"> the CWS </w:t>
      </w:r>
      <w:r w:rsidR="00966BE8">
        <w:t xml:space="preserve">had </w:t>
      </w:r>
      <w:r w:rsidR="00D522F7">
        <w:t xml:space="preserve">disseminated humiliating information </w:t>
      </w:r>
      <w:r w:rsidR="00C94E14">
        <w:t xml:space="preserve">regarding </w:t>
      </w:r>
      <w:r w:rsidR="00D522F7">
        <w:t xml:space="preserve">her </w:t>
      </w:r>
      <w:r w:rsidR="00F31E37">
        <w:t>and her son</w:t>
      </w:r>
      <w:r w:rsidR="00CE66E6">
        <w:t>’</w:t>
      </w:r>
      <w:r w:rsidR="00F31E37">
        <w:t>s</w:t>
      </w:r>
      <w:r w:rsidR="00D522F7">
        <w:t xml:space="preserve"> life</w:t>
      </w:r>
      <w:r w:rsidR="00F31E37">
        <w:t>, thus interfering with her right to privacy.</w:t>
      </w:r>
    </w:p>
    <w:p w:rsidR="009F40BB" w:rsidRDefault="00C40812" w:rsidP="0039636F">
      <w:pPr>
        <w:pStyle w:val="JuPara"/>
      </w:pPr>
      <w:r>
        <w:fldChar w:fldCharType="begin"/>
      </w:r>
      <w:r w:rsidR="00F31E37">
        <w:instrText xml:space="preserve"> SEQ level0 \*arabic </w:instrText>
      </w:r>
      <w:r>
        <w:fldChar w:fldCharType="separate"/>
      </w:r>
      <w:r w:rsidR="006E0C02">
        <w:rPr>
          <w:noProof/>
        </w:rPr>
        <w:t>36</w:t>
      </w:r>
      <w:r>
        <w:fldChar w:fldCharType="end"/>
      </w:r>
      <w:r w:rsidR="00F31E37">
        <w:t>.  </w:t>
      </w:r>
      <w:r w:rsidR="00C94E14">
        <w:t>In</w:t>
      </w:r>
      <w:r w:rsidR="00D522F7">
        <w:t xml:space="preserve"> the applicant</w:t>
      </w:r>
      <w:r w:rsidR="00CE66E6">
        <w:t>’</w:t>
      </w:r>
      <w:r w:rsidR="00C94E14">
        <w:t>s opinion</w:t>
      </w:r>
      <w:r w:rsidR="00D522F7">
        <w:t xml:space="preserve">, it </w:t>
      </w:r>
      <w:r w:rsidR="005933AE">
        <w:t>was</w:t>
      </w:r>
      <w:r w:rsidR="00966BE8">
        <w:t xml:space="preserve"> </w:t>
      </w:r>
      <w:r w:rsidR="00D522F7">
        <w:t xml:space="preserve">possible to recognise her from the text of the article. </w:t>
      </w:r>
      <w:r w:rsidR="00F31E37">
        <w:t xml:space="preserve">The </w:t>
      </w:r>
      <w:r w:rsidR="0039636F">
        <w:t xml:space="preserve">article </w:t>
      </w:r>
      <w:r w:rsidR="00966BE8">
        <w:t xml:space="preserve">had </w:t>
      </w:r>
      <w:r w:rsidR="00F31E37">
        <w:t>indicated the name of the child</w:t>
      </w:r>
      <w:r w:rsidR="00CE66E6">
        <w:t>’</w:t>
      </w:r>
      <w:r w:rsidR="00F31E37">
        <w:t xml:space="preserve">s treatment institution and quoted </w:t>
      </w:r>
      <w:r w:rsidR="00966BE8">
        <w:t xml:space="preserve">from </w:t>
      </w:r>
      <w:r w:rsidR="00264E4E">
        <w:t xml:space="preserve">his </w:t>
      </w:r>
      <w:r w:rsidR="00F31E37">
        <w:t xml:space="preserve">medical record word for word. Moreover, the fact that the </w:t>
      </w:r>
      <w:r w:rsidR="00264E4E">
        <w:t xml:space="preserve">article </w:t>
      </w:r>
      <w:r w:rsidR="00F31E37">
        <w:t xml:space="preserve">at issue </w:t>
      </w:r>
      <w:r w:rsidR="00966BE8">
        <w:t xml:space="preserve">had </w:t>
      </w:r>
      <w:r w:rsidR="00F31E37">
        <w:t xml:space="preserve">concerned the applicant had been proved by the apology </w:t>
      </w:r>
      <w:r w:rsidR="00F31E37" w:rsidRPr="00966BE8">
        <w:rPr>
          <w:i/>
        </w:rPr>
        <w:t>Lietuvos Aidas</w:t>
      </w:r>
      <w:r w:rsidR="00F31E37">
        <w:t xml:space="preserve"> </w:t>
      </w:r>
      <w:r w:rsidR="00966BE8">
        <w:t xml:space="preserve">had </w:t>
      </w:r>
      <w:r w:rsidR="00F31E37">
        <w:t>printed on 18</w:t>
      </w:r>
      <w:r w:rsidR="00966BE8">
        <w:t> </w:t>
      </w:r>
      <w:r w:rsidR="00F31E37">
        <w:t>April</w:t>
      </w:r>
      <w:r w:rsidR="0081136A">
        <w:t> </w:t>
      </w:r>
      <w:r w:rsidR="00F31E37">
        <w:t>200</w:t>
      </w:r>
      <w:r w:rsidR="0090436C">
        <w:t xml:space="preserve">1 and </w:t>
      </w:r>
      <w:r w:rsidR="00F31E37">
        <w:t xml:space="preserve">the response from the Child Development </w:t>
      </w:r>
      <w:r w:rsidR="00F52764">
        <w:t>Centre</w:t>
      </w:r>
      <w:r w:rsidR="00F31E37">
        <w:t xml:space="preserve"> of 4</w:t>
      </w:r>
      <w:r w:rsidR="00966BE8">
        <w:t> </w:t>
      </w:r>
      <w:r w:rsidR="00F31E37">
        <w:t>September</w:t>
      </w:r>
      <w:r w:rsidR="0081136A">
        <w:t> </w:t>
      </w:r>
      <w:r w:rsidR="00F31E37">
        <w:t>2001</w:t>
      </w:r>
      <w:r w:rsidR="0090436C">
        <w:t>.</w:t>
      </w:r>
    </w:p>
    <w:p w:rsidR="00FA7C4E" w:rsidRPr="006874B9" w:rsidRDefault="00FA7C4E" w:rsidP="0039636F">
      <w:pPr>
        <w:pStyle w:val="JuH1"/>
      </w:pPr>
      <w:r>
        <w:t>2.  The Government</w:t>
      </w:r>
    </w:p>
    <w:p w:rsidR="00067B70" w:rsidRDefault="00C40812" w:rsidP="0039636F">
      <w:pPr>
        <w:pStyle w:val="JuPara"/>
      </w:pPr>
      <w:r w:rsidRPr="006874B9">
        <w:fldChar w:fldCharType="begin"/>
      </w:r>
      <w:r w:rsidR="00EE2656" w:rsidRPr="006874B9">
        <w:instrText xml:space="preserve"> SEQ level0 \*arabic </w:instrText>
      </w:r>
      <w:r w:rsidRPr="006874B9">
        <w:fldChar w:fldCharType="separate"/>
      </w:r>
      <w:r w:rsidR="006E0C02">
        <w:rPr>
          <w:noProof/>
        </w:rPr>
        <w:t>37</w:t>
      </w:r>
      <w:r w:rsidRPr="006874B9">
        <w:fldChar w:fldCharType="end"/>
      </w:r>
      <w:r w:rsidR="00EE2656" w:rsidRPr="006874B9">
        <w:t xml:space="preserve">.  The Government </w:t>
      </w:r>
      <w:r w:rsidR="00801FD3">
        <w:t>argued that there ha</w:t>
      </w:r>
      <w:r w:rsidR="00966BE8">
        <w:t>d</w:t>
      </w:r>
      <w:r w:rsidR="00801FD3">
        <w:t xml:space="preserve"> been no interference with the applicant</w:t>
      </w:r>
      <w:r w:rsidR="00CE66E6">
        <w:t>’</w:t>
      </w:r>
      <w:r w:rsidR="00801FD3">
        <w:t xml:space="preserve">s private and family life. </w:t>
      </w:r>
      <w:r w:rsidR="00E83D0C">
        <w:t xml:space="preserve">In particular, the </w:t>
      </w:r>
      <w:r w:rsidR="00264E4E">
        <w:t xml:space="preserve">article </w:t>
      </w:r>
      <w:r w:rsidR="00E83D0C">
        <w:t xml:space="preserve">at issue </w:t>
      </w:r>
      <w:r w:rsidR="00966BE8">
        <w:t xml:space="preserve">had </w:t>
      </w:r>
      <w:r w:rsidR="00E83D0C">
        <w:t xml:space="preserve">contained no </w:t>
      </w:r>
      <w:r w:rsidR="005A0083">
        <w:t>fore</w:t>
      </w:r>
      <w:r w:rsidR="00E83D0C">
        <w:t xml:space="preserve">names, surnames or other identifying information which </w:t>
      </w:r>
      <w:r w:rsidR="00966BE8">
        <w:t xml:space="preserve">might </w:t>
      </w:r>
      <w:r w:rsidR="00E83D0C">
        <w:t>support the applicant</w:t>
      </w:r>
      <w:r w:rsidR="00CE66E6">
        <w:t>’</w:t>
      </w:r>
      <w:r w:rsidR="00E83D0C">
        <w:t xml:space="preserve">s allegation that she was recognisable from that </w:t>
      </w:r>
      <w:r w:rsidR="00397A66">
        <w:t>publication</w:t>
      </w:r>
      <w:r w:rsidR="00E83D0C">
        <w:t xml:space="preserve">. Moreover, it followed from the </w:t>
      </w:r>
      <w:r w:rsidR="00A11E88">
        <w:t xml:space="preserve">title and </w:t>
      </w:r>
      <w:r w:rsidR="00264E4E">
        <w:t xml:space="preserve">its </w:t>
      </w:r>
      <w:r w:rsidR="00E83D0C">
        <w:t xml:space="preserve">content </w:t>
      </w:r>
      <w:r w:rsidR="00A11E88">
        <w:t xml:space="preserve">that its topic was to describe general </w:t>
      </w:r>
      <w:r w:rsidR="00DF5D78">
        <w:t>issues</w:t>
      </w:r>
      <w:r w:rsidR="00A11E88">
        <w:t xml:space="preserve"> which the CWS </w:t>
      </w:r>
      <w:r w:rsidR="00DF5D78">
        <w:t>tackle</w:t>
      </w:r>
      <w:r w:rsidR="00966BE8">
        <w:t>d</w:t>
      </w:r>
      <w:r w:rsidR="00A11E88">
        <w:t xml:space="preserve"> in its everyday work. The impugned description allegedly </w:t>
      </w:r>
      <w:r w:rsidR="00966BE8">
        <w:t xml:space="preserve">describing the </w:t>
      </w:r>
      <w:r w:rsidR="00A11E88">
        <w:t>applicant</w:t>
      </w:r>
      <w:r w:rsidR="00CE66E6">
        <w:t>’</w:t>
      </w:r>
      <w:r w:rsidR="00A11E88">
        <w:t xml:space="preserve">s family problems was only an illustrative example, </w:t>
      </w:r>
      <w:r w:rsidR="00966BE8">
        <w:t xml:space="preserve">making up </w:t>
      </w:r>
      <w:r w:rsidR="00A11E88">
        <w:t xml:space="preserve">approximately one third of </w:t>
      </w:r>
      <w:r w:rsidR="00966BE8">
        <w:t xml:space="preserve">the </w:t>
      </w:r>
      <w:r w:rsidR="00A11E88">
        <w:t xml:space="preserve">article, </w:t>
      </w:r>
      <w:r w:rsidR="00966BE8">
        <w:t xml:space="preserve">to </w:t>
      </w:r>
      <w:r w:rsidR="00A11E88">
        <w:t>show that the CWS</w:t>
      </w:r>
      <w:r w:rsidR="00CE66E6">
        <w:t>’</w:t>
      </w:r>
      <w:r w:rsidR="00966BE8">
        <w:t>s</w:t>
      </w:r>
      <w:r w:rsidR="00A11E88">
        <w:t xml:space="preserve"> employees </w:t>
      </w:r>
      <w:r w:rsidR="00966BE8">
        <w:t xml:space="preserve">took </w:t>
      </w:r>
      <w:r w:rsidR="00067B70">
        <w:t>part in disputes and attend</w:t>
      </w:r>
      <w:r w:rsidR="00966BE8">
        <w:t>ed</w:t>
      </w:r>
      <w:r w:rsidR="00067B70">
        <w:t xml:space="preserve"> court hearings in cases concerning the establishment of </w:t>
      </w:r>
      <w:r w:rsidR="00DF5D78">
        <w:t>a</w:t>
      </w:r>
      <w:r w:rsidR="00585446">
        <w:t xml:space="preserve"> child</w:t>
      </w:r>
      <w:r w:rsidR="00CE66E6">
        <w:t>’</w:t>
      </w:r>
      <w:r w:rsidR="00585446">
        <w:t>s place of residence.</w:t>
      </w:r>
    </w:p>
    <w:p w:rsidR="00404F2A" w:rsidRDefault="00C40812" w:rsidP="0039636F">
      <w:pPr>
        <w:pStyle w:val="JuPara"/>
      </w:pPr>
      <w:r>
        <w:fldChar w:fldCharType="begin"/>
      </w:r>
      <w:r w:rsidR="00067B70">
        <w:instrText xml:space="preserve"> SEQ level0 \*arabic </w:instrText>
      </w:r>
      <w:r>
        <w:fldChar w:fldCharType="separate"/>
      </w:r>
      <w:r w:rsidR="006E0C02">
        <w:rPr>
          <w:noProof/>
        </w:rPr>
        <w:t>38</w:t>
      </w:r>
      <w:r>
        <w:fldChar w:fldCharType="end"/>
      </w:r>
      <w:r w:rsidR="00067B70">
        <w:t>.  </w:t>
      </w:r>
      <w:r w:rsidR="008E486A">
        <w:t>For the Government, the domestic courts ha</w:t>
      </w:r>
      <w:r w:rsidR="00966BE8">
        <w:t>d</w:t>
      </w:r>
      <w:r w:rsidR="008E486A">
        <w:t xml:space="preserve"> duly analysed the applicant</w:t>
      </w:r>
      <w:r w:rsidR="00CE66E6">
        <w:t>’</w:t>
      </w:r>
      <w:r w:rsidR="008E486A">
        <w:t>s claims and c</w:t>
      </w:r>
      <w:r w:rsidR="00966BE8">
        <w:t>o</w:t>
      </w:r>
      <w:r w:rsidR="008E486A">
        <w:t xml:space="preserve">me to a reasoned conclusion that there was no substantive evidence </w:t>
      </w:r>
      <w:r w:rsidR="00264E4E">
        <w:t xml:space="preserve">for </w:t>
      </w:r>
      <w:r w:rsidR="008E486A">
        <w:t>find</w:t>
      </w:r>
      <w:r w:rsidR="00264E4E">
        <w:t>ing</w:t>
      </w:r>
      <w:r w:rsidR="008E486A">
        <w:t xml:space="preserve"> that the applicant had been recognisable from the </w:t>
      </w:r>
      <w:r w:rsidR="00585446" w:rsidRPr="00966BE8">
        <w:rPr>
          <w:i/>
        </w:rPr>
        <w:t>Lietuvos Aidas</w:t>
      </w:r>
      <w:r w:rsidR="00585446">
        <w:t xml:space="preserve"> </w:t>
      </w:r>
      <w:r w:rsidR="008E486A">
        <w:t>article of 15 June</w:t>
      </w:r>
      <w:r w:rsidR="0081136A">
        <w:t> </w:t>
      </w:r>
      <w:r w:rsidR="008E486A">
        <w:t xml:space="preserve">2001. </w:t>
      </w:r>
      <w:r w:rsidR="00586D15">
        <w:t xml:space="preserve">The Government also stood by the domestic court </w:t>
      </w:r>
      <w:r w:rsidR="00264E4E">
        <w:t>decision</w:t>
      </w:r>
      <w:r w:rsidR="00586D15">
        <w:t xml:space="preserve"> </w:t>
      </w:r>
      <w:r w:rsidR="00966BE8">
        <w:t>ruling</w:t>
      </w:r>
      <w:r w:rsidR="00586D15">
        <w:t xml:space="preserve"> out the Inspector</w:t>
      </w:r>
      <w:r w:rsidR="00CE66E6">
        <w:t>’</w:t>
      </w:r>
      <w:r w:rsidR="00586D15">
        <w:t>s conclusion and the doctors</w:t>
      </w:r>
      <w:r w:rsidR="00CE66E6">
        <w:t>’</w:t>
      </w:r>
      <w:r w:rsidR="00586D15">
        <w:t xml:space="preserve"> </w:t>
      </w:r>
      <w:r w:rsidR="00966BE8">
        <w:t xml:space="preserve">response </w:t>
      </w:r>
      <w:r w:rsidR="00586D15">
        <w:t>of 4</w:t>
      </w:r>
      <w:r w:rsidR="0081136A">
        <w:t> </w:t>
      </w:r>
      <w:r w:rsidR="00586D15">
        <w:t>September</w:t>
      </w:r>
      <w:r w:rsidR="0081136A">
        <w:t> </w:t>
      </w:r>
      <w:r w:rsidR="00586D15">
        <w:t xml:space="preserve">2001 </w:t>
      </w:r>
      <w:r w:rsidR="00966BE8">
        <w:t xml:space="preserve">as </w:t>
      </w:r>
      <w:r w:rsidR="00586D15">
        <w:t xml:space="preserve">conclusive pieces of evidence. </w:t>
      </w:r>
      <w:r w:rsidR="00DF5D78">
        <w:t>Moreover, o</w:t>
      </w:r>
      <w:r w:rsidR="008E486A">
        <w:t xml:space="preserve">nce the fact that </w:t>
      </w:r>
      <w:r w:rsidR="00966BE8">
        <w:t xml:space="preserve">the </w:t>
      </w:r>
      <w:r w:rsidR="008E486A">
        <w:t xml:space="preserve">impugned article did not contain information about the </w:t>
      </w:r>
      <w:r w:rsidR="00586D15">
        <w:t>applicant</w:t>
      </w:r>
      <w:r w:rsidR="00CE66E6">
        <w:t>’</w:t>
      </w:r>
      <w:r w:rsidR="00586D15">
        <w:t>s</w:t>
      </w:r>
      <w:r w:rsidR="008E486A">
        <w:t xml:space="preserve"> </w:t>
      </w:r>
      <w:r w:rsidR="00586D15">
        <w:t xml:space="preserve">private and family life </w:t>
      </w:r>
      <w:r w:rsidR="00966BE8">
        <w:t xml:space="preserve">had been </w:t>
      </w:r>
      <w:r w:rsidR="00586D15">
        <w:t xml:space="preserve">established, there </w:t>
      </w:r>
      <w:r w:rsidR="00966BE8">
        <w:t xml:space="preserve">had been </w:t>
      </w:r>
      <w:r w:rsidR="00586D15">
        <w:t xml:space="preserve">no need for the courts to decide whether there was a legitimate interest </w:t>
      </w:r>
      <w:r w:rsidR="00966BE8">
        <w:t xml:space="preserve">in </w:t>
      </w:r>
      <w:r w:rsidR="00586D15">
        <w:t>publish</w:t>
      </w:r>
      <w:r w:rsidR="00966BE8">
        <w:t>ing</w:t>
      </w:r>
      <w:r w:rsidR="00586D15">
        <w:t xml:space="preserve"> the information.</w:t>
      </w:r>
      <w:r w:rsidR="00586D15" w:rsidRPr="00586D15">
        <w:t xml:space="preserve"> </w:t>
      </w:r>
      <w:r w:rsidR="00DF5D78">
        <w:t>Furthermore</w:t>
      </w:r>
      <w:r w:rsidR="00586D15">
        <w:t xml:space="preserve">, there was no </w:t>
      </w:r>
      <w:r w:rsidR="00264E4E">
        <w:t xml:space="preserve">evidence </w:t>
      </w:r>
      <w:r w:rsidR="00586D15">
        <w:t>in the civil case file that the staff of the CWS had disclosed any information about a particular person, be it the applicant or other unknown persons.</w:t>
      </w:r>
    </w:p>
    <w:p w:rsidR="00A80F60" w:rsidRDefault="00C40812" w:rsidP="0039636F">
      <w:pPr>
        <w:pStyle w:val="JuPara"/>
      </w:pPr>
      <w:r>
        <w:fldChar w:fldCharType="begin"/>
      </w:r>
      <w:r w:rsidR="00FA7C4E">
        <w:instrText xml:space="preserve"> SEQ level0 \*arabic </w:instrText>
      </w:r>
      <w:r>
        <w:fldChar w:fldCharType="separate"/>
      </w:r>
      <w:r w:rsidR="006E0C02">
        <w:rPr>
          <w:noProof/>
        </w:rPr>
        <w:t>39</w:t>
      </w:r>
      <w:r>
        <w:fldChar w:fldCharType="end"/>
      </w:r>
      <w:r w:rsidR="00FA7C4E">
        <w:t>.  </w:t>
      </w:r>
      <w:r w:rsidR="00264E4E">
        <w:t>T</w:t>
      </w:r>
      <w:r w:rsidR="00FA7C4E">
        <w:t xml:space="preserve">he Government </w:t>
      </w:r>
      <w:r w:rsidR="00264E4E">
        <w:t xml:space="preserve">considered </w:t>
      </w:r>
      <w:r w:rsidR="00FA7C4E">
        <w:t>it paramount to draw the Court</w:t>
      </w:r>
      <w:r w:rsidR="00CE66E6">
        <w:t>’</w:t>
      </w:r>
      <w:r w:rsidR="00FA7C4E">
        <w:t xml:space="preserve">s attention to the fact that prior to the </w:t>
      </w:r>
      <w:r w:rsidR="00360612">
        <w:t>publication of the article of 15 June</w:t>
      </w:r>
      <w:r w:rsidR="0081136A">
        <w:t> </w:t>
      </w:r>
      <w:r w:rsidR="00360612">
        <w:t xml:space="preserve">2001, the applicant </w:t>
      </w:r>
      <w:r w:rsidR="00396BF3">
        <w:t xml:space="preserve">had of </w:t>
      </w:r>
      <w:r w:rsidR="00360612">
        <w:t>her</w:t>
      </w:r>
      <w:r w:rsidR="00396BF3">
        <w:t xml:space="preserve"> own</w:t>
      </w:r>
      <w:r w:rsidR="00360612">
        <w:t xml:space="preserve"> free will </w:t>
      </w:r>
      <w:r w:rsidR="00E75BA9">
        <w:t xml:space="preserve">spoken </w:t>
      </w:r>
      <w:r w:rsidR="00360612">
        <w:t>to the media and made public her and her son</w:t>
      </w:r>
      <w:r w:rsidR="00CE66E6">
        <w:t>’</w:t>
      </w:r>
      <w:r w:rsidR="00360612">
        <w:t>s private life detail</w:t>
      </w:r>
      <w:r w:rsidR="00585446">
        <w:t>s</w:t>
      </w:r>
      <w:r w:rsidR="00360612">
        <w:t xml:space="preserve">. The </w:t>
      </w:r>
      <w:r w:rsidR="0004796E">
        <w:t xml:space="preserve">public </w:t>
      </w:r>
      <w:r w:rsidR="00264E4E">
        <w:t>letter and article she had publis</w:t>
      </w:r>
      <w:r w:rsidR="0039636F">
        <w:t>h</w:t>
      </w:r>
      <w:r w:rsidR="00264E4E">
        <w:t xml:space="preserve">ed </w:t>
      </w:r>
      <w:r w:rsidR="00DF5D78">
        <w:t xml:space="preserve">in </w:t>
      </w:r>
      <w:r w:rsidR="00DF5D78" w:rsidRPr="004C4728">
        <w:rPr>
          <w:i/>
        </w:rPr>
        <w:t>Respublika</w:t>
      </w:r>
      <w:r w:rsidR="00DF5D78">
        <w:t xml:space="preserve"> and </w:t>
      </w:r>
      <w:r w:rsidR="00DF5D78" w:rsidRPr="004C4728">
        <w:rPr>
          <w:i/>
        </w:rPr>
        <w:t>Lietuvos A</w:t>
      </w:r>
      <w:r w:rsidR="00360612" w:rsidRPr="004C4728">
        <w:rPr>
          <w:i/>
        </w:rPr>
        <w:t>idas</w:t>
      </w:r>
      <w:r w:rsidR="00360612">
        <w:t xml:space="preserve"> on 31 March and </w:t>
      </w:r>
      <w:r w:rsidR="0004796E">
        <w:t>3</w:t>
      </w:r>
      <w:r w:rsidR="00360612">
        <w:t> April</w:t>
      </w:r>
      <w:r w:rsidR="0081136A">
        <w:t> </w:t>
      </w:r>
      <w:r w:rsidR="00360612">
        <w:t>2001</w:t>
      </w:r>
      <w:r w:rsidR="004B5C05" w:rsidRPr="004B5C05">
        <w:t xml:space="preserve"> </w:t>
      </w:r>
      <w:r w:rsidR="004B5C05">
        <w:t>respectively</w:t>
      </w:r>
      <w:r w:rsidR="00360612">
        <w:t xml:space="preserve">, </w:t>
      </w:r>
      <w:r w:rsidR="00264E4E">
        <w:t xml:space="preserve">had been </w:t>
      </w:r>
      <w:r w:rsidR="00360612">
        <w:t>very informative as regards her, her former husband</w:t>
      </w:r>
      <w:r w:rsidR="00CE66E6">
        <w:t>’</w:t>
      </w:r>
      <w:r w:rsidR="00360612">
        <w:t>s and their son</w:t>
      </w:r>
      <w:r w:rsidR="00CE66E6">
        <w:t>’</w:t>
      </w:r>
      <w:r w:rsidR="00360612">
        <w:t>s private and family life. Th</w:t>
      </w:r>
      <w:r w:rsidR="00264E4E">
        <w:t>e</w:t>
      </w:r>
      <w:r w:rsidR="00360612">
        <w:t xml:space="preserve">se </w:t>
      </w:r>
      <w:r w:rsidR="00264E4E">
        <w:t xml:space="preserve">had </w:t>
      </w:r>
      <w:r w:rsidR="00360612">
        <w:t xml:space="preserve">contained personal information such as </w:t>
      </w:r>
      <w:r w:rsidR="00E75BA9">
        <w:t xml:space="preserve">the </w:t>
      </w:r>
      <w:r w:rsidR="005A0083">
        <w:t>fore</w:t>
      </w:r>
      <w:r w:rsidR="00360612">
        <w:t>names</w:t>
      </w:r>
      <w:r w:rsidR="00E75BA9">
        <w:t xml:space="preserve"> and</w:t>
      </w:r>
      <w:r w:rsidR="00360612">
        <w:t xml:space="preserve"> surnames o</w:t>
      </w:r>
      <w:r w:rsidR="00E75BA9">
        <w:t>f</w:t>
      </w:r>
      <w:r w:rsidR="00360612">
        <w:t xml:space="preserve"> the applicant, her former husband and their son. </w:t>
      </w:r>
      <w:r w:rsidR="00A80F60">
        <w:t xml:space="preserve">Moreover, </w:t>
      </w:r>
      <w:r w:rsidR="00FB7264">
        <w:t>the</w:t>
      </w:r>
      <w:r w:rsidR="00264E4E">
        <w:t>y had</w:t>
      </w:r>
      <w:r w:rsidR="00FB7264">
        <w:t xml:space="preserve"> </w:t>
      </w:r>
      <w:r w:rsidR="00A80F60">
        <w:t xml:space="preserve">also mentioned that </w:t>
      </w:r>
      <w:r w:rsidR="00FB7264">
        <w:t>the</w:t>
      </w:r>
      <w:r w:rsidR="00A80F60">
        <w:t xml:space="preserve"> child </w:t>
      </w:r>
      <w:r w:rsidR="00E75BA9">
        <w:t xml:space="preserve">had </w:t>
      </w:r>
      <w:r w:rsidR="00A80F60">
        <w:t xml:space="preserve">received </w:t>
      </w:r>
      <w:r w:rsidR="00264E4E">
        <w:t>psychiatric</w:t>
      </w:r>
      <w:r w:rsidR="00A80F60">
        <w:t xml:space="preserve"> treatment </w:t>
      </w:r>
      <w:r w:rsidR="00E75BA9">
        <w:t xml:space="preserve">owing </w:t>
      </w:r>
      <w:r w:rsidR="00A80F60">
        <w:t>to the parents</w:t>
      </w:r>
      <w:r w:rsidR="00CE66E6">
        <w:t>’</w:t>
      </w:r>
      <w:r w:rsidR="00A80F60">
        <w:t xml:space="preserve"> disputes over him. </w:t>
      </w:r>
      <w:r w:rsidR="00264E4E">
        <w:t>I</w:t>
      </w:r>
      <w:r w:rsidR="00A80F60">
        <w:t xml:space="preserve">t </w:t>
      </w:r>
      <w:r w:rsidR="00FB7264">
        <w:t>transpired</w:t>
      </w:r>
      <w:r w:rsidR="00A80F60">
        <w:t xml:space="preserve"> from those </w:t>
      </w:r>
      <w:r w:rsidR="0039636F">
        <w:t>articles</w:t>
      </w:r>
      <w:r w:rsidR="004B5C05">
        <w:t xml:space="preserve"> that</w:t>
      </w:r>
      <w:r w:rsidR="00A80F60">
        <w:t xml:space="preserve"> the applicant, </w:t>
      </w:r>
      <w:r w:rsidR="00E75BA9">
        <w:t xml:space="preserve">who </w:t>
      </w:r>
      <w:r w:rsidR="00A80F60">
        <w:t xml:space="preserve">according to the case file </w:t>
      </w:r>
      <w:r w:rsidR="00E75BA9">
        <w:t xml:space="preserve">was </w:t>
      </w:r>
      <w:r w:rsidR="00A80F60">
        <w:t xml:space="preserve">a journalist, </w:t>
      </w:r>
      <w:r w:rsidR="004B5C05">
        <w:t xml:space="preserve">had </w:t>
      </w:r>
      <w:r w:rsidR="00A80F60">
        <w:t>major family problems concerning the child</w:t>
      </w:r>
      <w:r w:rsidR="00CE66E6">
        <w:t>’</w:t>
      </w:r>
      <w:r w:rsidR="00A80F60">
        <w:t xml:space="preserve">s place of residence and </w:t>
      </w:r>
      <w:r w:rsidR="00E75BA9">
        <w:t xml:space="preserve">her access to </w:t>
      </w:r>
      <w:r w:rsidR="00A80F60">
        <w:t>her son,</w:t>
      </w:r>
      <w:r w:rsidR="00E75BA9">
        <w:t xml:space="preserve"> and had</w:t>
      </w:r>
      <w:r w:rsidR="00A80F60">
        <w:t xml:space="preserve"> </w:t>
      </w:r>
      <w:r w:rsidR="00FB7264">
        <w:t>turned</w:t>
      </w:r>
      <w:r w:rsidR="00A80F60">
        <w:t xml:space="preserve"> to </w:t>
      </w:r>
      <w:r w:rsidR="00E75BA9">
        <w:t xml:space="preserve">the </w:t>
      </w:r>
      <w:r w:rsidR="00A80F60">
        <w:t>media instead of waiting for the issue to be resolved by courts.</w:t>
      </w:r>
    </w:p>
    <w:p w:rsidR="00F71A6A" w:rsidRPr="005B2522" w:rsidRDefault="00EE2656" w:rsidP="0039636F">
      <w:pPr>
        <w:pStyle w:val="JuHA"/>
        <w:outlineLvl w:val="0"/>
      </w:pPr>
      <w:r>
        <w:t>B</w:t>
      </w:r>
      <w:r w:rsidR="00F71A6A" w:rsidRPr="005B2522">
        <w:t>.  </w:t>
      </w:r>
      <w:r>
        <w:t>The Court</w:t>
      </w:r>
      <w:r w:rsidR="00CE66E6">
        <w:t>’</w:t>
      </w:r>
      <w:r>
        <w:t xml:space="preserve">s </w:t>
      </w:r>
      <w:r w:rsidRPr="006874B9">
        <w:t>assessment</w:t>
      </w:r>
    </w:p>
    <w:p w:rsidR="00C03FF0" w:rsidRPr="006874B9" w:rsidRDefault="00C03FF0" w:rsidP="0039636F">
      <w:pPr>
        <w:pStyle w:val="JuH1"/>
      </w:pPr>
      <w:r w:rsidRPr="006874B9">
        <w:t>1</w:t>
      </w:r>
      <w:r>
        <w:t>.  Admissibility</w:t>
      </w:r>
    </w:p>
    <w:p w:rsidR="00F71A6A" w:rsidRPr="005B2522" w:rsidRDefault="00C40812" w:rsidP="0039636F">
      <w:pPr>
        <w:pStyle w:val="JuPara"/>
      </w:pPr>
      <w:r w:rsidRPr="005B2522">
        <w:fldChar w:fldCharType="begin"/>
      </w:r>
      <w:r w:rsidR="00F22905" w:rsidRPr="005B2522">
        <w:instrText xml:space="preserve"> SEQ level0 \*arabic </w:instrText>
      </w:r>
      <w:r w:rsidRPr="005B2522">
        <w:fldChar w:fldCharType="separate"/>
      </w:r>
      <w:r w:rsidR="006E0C02">
        <w:rPr>
          <w:noProof/>
        </w:rPr>
        <w:t>40</w:t>
      </w:r>
      <w:r w:rsidRPr="005B2522">
        <w:fldChar w:fldCharType="end"/>
      </w:r>
      <w:r w:rsidR="00F71A6A" w:rsidRPr="005B2522">
        <w:t xml:space="preserve">.  The Court </w:t>
      </w:r>
      <w:r w:rsidR="00A64377">
        <w:t>finds</w:t>
      </w:r>
      <w:r w:rsidR="00A64377" w:rsidRPr="005B2522">
        <w:t xml:space="preserve"> </w:t>
      </w:r>
      <w:r w:rsidR="00F71A6A" w:rsidRPr="005B2522">
        <w:t>that this complaint is not manifestly ill-founded within the meaning of Article</w:t>
      </w:r>
      <w:r w:rsidR="0081136A">
        <w:t> </w:t>
      </w:r>
      <w:r w:rsidR="00C63E30" w:rsidRPr="005B2522">
        <w:t>35 §</w:t>
      </w:r>
      <w:r w:rsidR="0081136A">
        <w:t> </w:t>
      </w:r>
      <w:r w:rsidR="00C63E30" w:rsidRPr="005B2522">
        <w:t>3</w:t>
      </w:r>
      <w:r w:rsidR="0081136A">
        <w:t> </w:t>
      </w:r>
      <w:r w:rsidR="00C63E30" w:rsidRPr="005B2522">
        <w:t>(a)</w:t>
      </w:r>
      <w:r w:rsidR="00F71A6A" w:rsidRPr="005B2522">
        <w:t xml:space="preserve"> of the Convention. It further notes that it is not inadmissible on any other grounds. It must therefore be declared admissible.</w:t>
      </w:r>
    </w:p>
    <w:p w:rsidR="00C03FF0" w:rsidRPr="006874B9" w:rsidRDefault="00C03FF0" w:rsidP="0039636F">
      <w:pPr>
        <w:pStyle w:val="JuH1"/>
      </w:pPr>
      <w:r>
        <w:t>2.  Merits</w:t>
      </w:r>
    </w:p>
    <w:p w:rsidR="00BD7C04" w:rsidRPr="007B02F5" w:rsidRDefault="00BD7C04" w:rsidP="0039636F">
      <w:pPr>
        <w:pStyle w:val="JuHa0"/>
      </w:pPr>
      <w:r>
        <w:t>(</w:t>
      </w:r>
      <w:r w:rsidRPr="007B02F5">
        <w:t>a</w:t>
      </w:r>
      <w:r>
        <w:t>)</w:t>
      </w:r>
      <w:r w:rsidRPr="007B02F5">
        <w:t>  Applicable principles</w:t>
      </w:r>
    </w:p>
    <w:p w:rsidR="00C03FF0" w:rsidRDefault="00C40812" w:rsidP="0039636F">
      <w:pPr>
        <w:pStyle w:val="JuPara"/>
      </w:pPr>
      <w:r w:rsidRPr="005B2522">
        <w:fldChar w:fldCharType="begin"/>
      </w:r>
      <w:r w:rsidR="00F22905" w:rsidRPr="005B2522">
        <w:instrText xml:space="preserve"> SEQ level0 \*arabic </w:instrText>
      </w:r>
      <w:r w:rsidRPr="005B2522">
        <w:fldChar w:fldCharType="separate"/>
      </w:r>
      <w:r w:rsidR="006E0C02">
        <w:rPr>
          <w:noProof/>
        </w:rPr>
        <w:t>41</w:t>
      </w:r>
      <w:r w:rsidRPr="005B2522">
        <w:fldChar w:fldCharType="end"/>
      </w:r>
      <w:r w:rsidR="00F71A6A" w:rsidRPr="005B2522">
        <w:t>.  </w:t>
      </w:r>
      <w:r w:rsidR="00BD7C04" w:rsidRPr="0046328A">
        <w:t xml:space="preserve">The Court </w:t>
      </w:r>
      <w:r w:rsidR="007A0E43">
        <w:t>recalls</w:t>
      </w:r>
      <w:r w:rsidR="00BD7C04" w:rsidRPr="0046328A">
        <w:t xml:space="preserve"> that the notion of “private life” within the meaning of Article 8 of the Convention is a broad concept which </w:t>
      </w:r>
      <w:r w:rsidR="00BD7C04">
        <w:t>includes</w:t>
      </w:r>
      <w:r w:rsidR="00BD7C04" w:rsidRPr="0046328A">
        <w:t xml:space="preserve">, </w:t>
      </w:r>
      <w:r w:rsidR="00BD7C04" w:rsidRPr="0046328A">
        <w:rPr>
          <w:i/>
        </w:rPr>
        <w:t>inter alia</w:t>
      </w:r>
      <w:r w:rsidR="00BD7C04" w:rsidRPr="0046328A">
        <w:t xml:space="preserve">, the right to establish and develop relationships with other human beings (see </w:t>
      </w:r>
      <w:r w:rsidR="00BD7C04" w:rsidRPr="00AE0045">
        <w:rPr>
          <w:i/>
        </w:rPr>
        <w:t>Niemietz</w:t>
      </w:r>
      <w:r w:rsidR="00BD7C04">
        <w:rPr>
          <w:i/>
        </w:rPr>
        <w:t> v.</w:t>
      </w:r>
      <w:r w:rsidR="0081136A">
        <w:rPr>
          <w:i/>
        </w:rPr>
        <w:t> </w:t>
      </w:r>
      <w:r w:rsidR="00BD7C04" w:rsidRPr="00AE0045">
        <w:rPr>
          <w:i/>
        </w:rPr>
        <w:t>Germany</w:t>
      </w:r>
      <w:r w:rsidR="00BD7C04">
        <w:t>, 16 </w:t>
      </w:r>
      <w:r w:rsidR="00BD7C04" w:rsidRPr="00AE0045">
        <w:t>December</w:t>
      </w:r>
      <w:r w:rsidR="0081136A">
        <w:t> </w:t>
      </w:r>
      <w:r w:rsidR="00BD7C04" w:rsidRPr="00AE0045">
        <w:t xml:space="preserve">1992, </w:t>
      </w:r>
      <w:r w:rsidR="00E75BA9" w:rsidRPr="0046328A">
        <w:t>§</w:t>
      </w:r>
      <w:r w:rsidR="0081136A">
        <w:t> </w:t>
      </w:r>
      <w:r w:rsidR="00E75BA9" w:rsidRPr="0046328A">
        <w:t>29</w:t>
      </w:r>
      <w:r w:rsidR="00E75BA9">
        <w:t xml:space="preserve">, </w:t>
      </w:r>
      <w:r w:rsidR="00BD7C04">
        <w:t>Series A</w:t>
      </w:r>
      <w:r w:rsidR="00BD7C04" w:rsidRPr="00AE0045">
        <w:t xml:space="preserve"> </w:t>
      </w:r>
      <w:r w:rsidR="00BD7C04">
        <w:t>no. </w:t>
      </w:r>
      <w:r w:rsidR="00BD7C04" w:rsidRPr="00AE0045">
        <w:t>251</w:t>
      </w:r>
      <w:r w:rsidR="00BD7C04" w:rsidRPr="00AE0045">
        <w:noBreakHyphen/>
        <w:t>B</w:t>
      </w:r>
      <w:r w:rsidR="00BD7C04" w:rsidRPr="0046328A">
        <w:t>)</w:t>
      </w:r>
      <w:r w:rsidR="00BD7C04">
        <w:t xml:space="preserve">. It </w:t>
      </w:r>
      <w:r w:rsidR="004B5C05">
        <w:t xml:space="preserve">also </w:t>
      </w:r>
      <w:r w:rsidR="00BD7C04">
        <w:t>encompasses p</w:t>
      </w:r>
      <w:r w:rsidR="00BD7C04">
        <w:rPr>
          <w:szCs w:val="24"/>
          <w:lang w:eastAsia="en-US"/>
        </w:rPr>
        <w:t>ersonal</w:t>
      </w:r>
      <w:r w:rsidR="00BD7C04">
        <w:t xml:space="preserve"> </w:t>
      </w:r>
      <w:r w:rsidR="00BD7C04" w:rsidRPr="00052977">
        <w:t>information</w:t>
      </w:r>
      <w:r w:rsidR="00BD7C04">
        <w:t xml:space="preserve"> relating to a patient (see </w:t>
      </w:r>
      <w:r w:rsidR="00BD7C04" w:rsidRPr="007137F5">
        <w:rPr>
          <w:i/>
          <w:lang w:eastAsia="en-US"/>
        </w:rPr>
        <w:t>I. v.</w:t>
      </w:r>
      <w:r w:rsidR="0081136A">
        <w:rPr>
          <w:i/>
          <w:lang w:eastAsia="en-US"/>
        </w:rPr>
        <w:t> </w:t>
      </w:r>
      <w:r w:rsidR="00BD7C04" w:rsidRPr="007137F5">
        <w:rPr>
          <w:i/>
          <w:lang w:eastAsia="en-US"/>
        </w:rPr>
        <w:t>Finland</w:t>
      </w:r>
      <w:r w:rsidR="00BD7C04" w:rsidRPr="007137F5">
        <w:rPr>
          <w:lang w:eastAsia="en-US"/>
        </w:rPr>
        <w:t>, no.</w:t>
      </w:r>
      <w:r w:rsidR="0081136A">
        <w:rPr>
          <w:lang w:eastAsia="en-US"/>
        </w:rPr>
        <w:t> </w:t>
      </w:r>
      <w:r w:rsidR="00BD7C04" w:rsidRPr="007137F5">
        <w:rPr>
          <w:lang w:eastAsia="en-US"/>
        </w:rPr>
        <w:t xml:space="preserve">20511/03, </w:t>
      </w:r>
      <w:r w:rsidR="00BD7C04" w:rsidRPr="009B383C">
        <w:rPr>
          <w:lang w:eastAsia="en-US"/>
        </w:rPr>
        <w:t>§ </w:t>
      </w:r>
      <w:r w:rsidR="00BD7C04">
        <w:rPr>
          <w:lang w:eastAsia="en-US"/>
        </w:rPr>
        <w:t>35</w:t>
      </w:r>
      <w:r w:rsidR="00BD7C04" w:rsidRPr="009B383C">
        <w:rPr>
          <w:lang w:eastAsia="en-US"/>
        </w:rPr>
        <w:t>, 17</w:t>
      </w:r>
      <w:r w:rsidR="0081136A">
        <w:rPr>
          <w:lang w:eastAsia="en-US"/>
        </w:rPr>
        <w:t> </w:t>
      </w:r>
      <w:r w:rsidR="00BD7C04" w:rsidRPr="009B383C">
        <w:rPr>
          <w:lang w:eastAsia="en-US"/>
        </w:rPr>
        <w:t>July</w:t>
      </w:r>
      <w:r w:rsidR="0081136A">
        <w:rPr>
          <w:lang w:eastAsia="en-US"/>
        </w:rPr>
        <w:t> </w:t>
      </w:r>
      <w:r w:rsidR="00BD7C04" w:rsidRPr="009B383C">
        <w:rPr>
          <w:lang w:eastAsia="en-US"/>
        </w:rPr>
        <w:t>2008</w:t>
      </w:r>
      <w:r w:rsidR="00BD7C04">
        <w:rPr>
          <w:lang w:eastAsia="en-US"/>
        </w:rPr>
        <w:t>)</w:t>
      </w:r>
      <w:r w:rsidR="00BD7C04">
        <w:t>.</w:t>
      </w:r>
    </w:p>
    <w:p w:rsidR="00BD7C04" w:rsidRPr="007B02F5" w:rsidRDefault="00C40812" w:rsidP="0039636F">
      <w:pPr>
        <w:pStyle w:val="JuPara"/>
        <w:rPr>
          <w:lang w:eastAsia="en-US"/>
        </w:rPr>
      </w:pPr>
      <w:r w:rsidRPr="007B02F5">
        <w:fldChar w:fldCharType="begin"/>
      </w:r>
      <w:r w:rsidR="00BD7C04" w:rsidRPr="007B02F5">
        <w:instrText xml:space="preserve"> SEQ level0 \*arabic </w:instrText>
      </w:r>
      <w:r w:rsidRPr="007B02F5">
        <w:fldChar w:fldCharType="separate"/>
      </w:r>
      <w:r w:rsidR="006E0C02">
        <w:rPr>
          <w:noProof/>
        </w:rPr>
        <w:t>42</w:t>
      </w:r>
      <w:r w:rsidRPr="007B02F5">
        <w:fldChar w:fldCharType="end"/>
      </w:r>
      <w:r w:rsidR="00BD7C04" w:rsidRPr="007B02F5">
        <w:t xml:space="preserve">.  The Court has previously </w:t>
      </w:r>
      <w:r w:rsidR="00BD7C04">
        <w:t>hel</w:t>
      </w:r>
      <w:r w:rsidR="00BD7C04" w:rsidRPr="007B02F5">
        <w:t xml:space="preserve">d that </w:t>
      </w:r>
      <w:r w:rsidR="00BD7C04" w:rsidRPr="007B02F5">
        <w:rPr>
          <w:lang w:eastAsia="ar-SA"/>
        </w:rPr>
        <w:t>whether the case is analysed in terms of a positive duty on the State to take reasonable and appropriate measures to secure the applicant</w:t>
      </w:r>
      <w:r w:rsidR="00CE66E6">
        <w:rPr>
          <w:lang w:eastAsia="ar-SA"/>
        </w:rPr>
        <w:t>’</w:t>
      </w:r>
      <w:r w:rsidR="00BD7C04" w:rsidRPr="007B02F5">
        <w:rPr>
          <w:lang w:eastAsia="ar-SA"/>
        </w:rPr>
        <w:t>s rights under paragraph</w:t>
      </w:r>
      <w:r w:rsidR="0081136A">
        <w:rPr>
          <w:lang w:eastAsia="ar-SA"/>
        </w:rPr>
        <w:t> </w:t>
      </w:r>
      <w:r w:rsidR="00BD7C04" w:rsidRPr="007B02F5">
        <w:rPr>
          <w:lang w:eastAsia="ar-SA"/>
        </w:rPr>
        <w:t>1 of Article</w:t>
      </w:r>
      <w:r w:rsidR="0081136A">
        <w:rPr>
          <w:lang w:eastAsia="ar-SA"/>
        </w:rPr>
        <w:t> </w:t>
      </w:r>
      <w:r w:rsidR="00BD7C04" w:rsidRPr="007B02F5">
        <w:rPr>
          <w:lang w:eastAsia="ar-SA"/>
        </w:rPr>
        <w:t>8</w:t>
      </w:r>
      <w:r w:rsidR="00BD7C04">
        <w:rPr>
          <w:lang w:eastAsia="ar-SA"/>
        </w:rPr>
        <w:t>,</w:t>
      </w:r>
      <w:r w:rsidR="00BD7C04" w:rsidRPr="007B02F5">
        <w:rPr>
          <w:lang w:eastAsia="ar-SA"/>
        </w:rPr>
        <w:t xml:space="preserve"> or in terms of an interference by a public authority to be justified in accordance with paragraph</w:t>
      </w:r>
      <w:r w:rsidR="0081136A">
        <w:rPr>
          <w:lang w:eastAsia="ar-SA"/>
        </w:rPr>
        <w:t> </w:t>
      </w:r>
      <w:r w:rsidR="00BD7C04" w:rsidRPr="007B02F5">
        <w:rPr>
          <w:lang w:eastAsia="ar-SA"/>
        </w:rPr>
        <w:t>2</w:t>
      </w:r>
      <w:r w:rsidR="00BD7C04">
        <w:rPr>
          <w:lang w:eastAsia="ar-SA"/>
        </w:rPr>
        <w:t>,</w:t>
      </w:r>
      <w:r w:rsidR="00BD7C04" w:rsidRPr="007B02F5">
        <w:rPr>
          <w:lang w:eastAsia="ar-SA"/>
        </w:rPr>
        <w:t xml:space="preserve"> the applicable principles are broadly similar. In both contexts regard must be had to the fair balance that has to be struck between the competing interests of the individual and the community as a whole</w:t>
      </w:r>
      <w:r w:rsidR="00BD7C04">
        <w:rPr>
          <w:lang w:eastAsia="ar-SA"/>
        </w:rPr>
        <w:t xml:space="preserve"> </w:t>
      </w:r>
      <w:r w:rsidR="003D4B4A">
        <w:rPr>
          <w:lang w:eastAsia="ar-SA"/>
        </w:rPr>
        <w:t>(see </w:t>
      </w:r>
      <w:r w:rsidR="00BD7C04" w:rsidRPr="007B02F5">
        <w:rPr>
          <w:i/>
          <w:lang w:eastAsia="en-US"/>
        </w:rPr>
        <w:t>Von Hannover v.</w:t>
      </w:r>
      <w:r w:rsidR="003D4B4A">
        <w:rPr>
          <w:i/>
          <w:lang w:eastAsia="en-US"/>
        </w:rPr>
        <w:t xml:space="preserve"> </w:t>
      </w:r>
      <w:r w:rsidR="00BD7C04" w:rsidRPr="007B02F5">
        <w:rPr>
          <w:i/>
          <w:lang w:eastAsia="en-US"/>
        </w:rPr>
        <w:t>Germany</w:t>
      </w:r>
      <w:r w:rsidR="00BD7C04" w:rsidRPr="007B02F5">
        <w:rPr>
          <w:lang w:eastAsia="en-US"/>
        </w:rPr>
        <w:t>, no. 59320/00, § </w:t>
      </w:r>
      <w:r w:rsidR="00BD7C04">
        <w:rPr>
          <w:lang w:eastAsia="en-US"/>
        </w:rPr>
        <w:t>57</w:t>
      </w:r>
      <w:r w:rsidR="00BD7C04" w:rsidRPr="007B02F5">
        <w:rPr>
          <w:lang w:eastAsia="en-US"/>
        </w:rPr>
        <w:t>, ECHR</w:t>
      </w:r>
      <w:r w:rsidR="0081136A">
        <w:rPr>
          <w:lang w:eastAsia="en-US"/>
        </w:rPr>
        <w:t> </w:t>
      </w:r>
      <w:r w:rsidR="00BD7C04" w:rsidRPr="007B02F5">
        <w:rPr>
          <w:lang w:eastAsia="en-US"/>
        </w:rPr>
        <w:t>2004</w:t>
      </w:r>
      <w:r w:rsidR="00BD7C04" w:rsidRPr="007B02F5">
        <w:rPr>
          <w:lang w:eastAsia="en-US"/>
        </w:rPr>
        <w:noBreakHyphen/>
        <w:t>VI)</w:t>
      </w:r>
      <w:r w:rsidR="00BD7C04">
        <w:rPr>
          <w:lang w:eastAsia="en-US"/>
        </w:rPr>
        <w:t>.</w:t>
      </w:r>
      <w:r w:rsidR="00BD7C04" w:rsidRPr="007B02F5">
        <w:rPr>
          <w:lang w:eastAsia="ar-SA"/>
        </w:rPr>
        <w:t xml:space="preserve"> Furthermore, </w:t>
      </w:r>
      <w:r w:rsidR="00BD7C04">
        <w:rPr>
          <w:lang w:eastAsia="ar-SA"/>
        </w:rPr>
        <w:t>i</w:t>
      </w:r>
      <w:r w:rsidR="00BD7C04" w:rsidRPr="00882458">
        <w:t>n striking this balance</w:t>
      </w:r>
      <w:r w:rsidR="00BD7C04">
        <w:t>,</w:t>
      </w:r>
      <w:r w:rsidR="00BD7C04" w:rsidRPr="00882458">
        <w:t xml:space="preserve"> the aims mentioned in the second paragraph of Article</w:t>
      </w:r>
      <w:r w:rsidR="0081136A">
        <w:t> </w:t>
      </w:r>
      <w:r w:rsidR="00BD7C04" w:rsidRPr="00882458">
        <w:t>8 may be of a certain relevance</w:t>
      </w:r>
      <w:r w:rsidR="00BD7C04">
        <w:t xml:space="preserve"> (see </w:t>
      </w:r>
      <w:r w:rsidR="00BD7C04" w:rsidRPr="00C1187D">
        <w:rPr>
          <w:i/>
          <w:lang w:eastAsia="en-US"/>
        </w:rPr>
        <w:t>Rees v.</w:t>
      </w:r>
      <w:r w:rsidR="0081136A">
        <w:rPr>
          <w:i/>
          <w:lang w:eastAsia="en-US"/>
        </w:rPr>
        <w:t> </w:t>
      </w:r>
      <w:r w:rsidR="00BD7C04" w:rsidRPr="00C1187D">
        <w:rPr>
          <w:i/>
          <w:lang w:eastAsia="en-US"/>
        </w:rPr>
        <w:t>the United Kingdom</w:t>
      </w:r>
      <w:r w:rsidR="00BD7C04" w:rsidRPr="00C1187D">
        <w:rPr>
          <w:lang w:eastAsia="en-US"/>
        </w:rPr>
        <w:t>, 17</w:t>
      </w:r>
      <w:r w:rsidR="0081136A">
        <w:rPr>
          <w:lang w:eastAsia="en-US"/>
        </w:rPr>
        <w:t> </w:t>
      </w:r>
      <w:r w:rsidR="00BD7C04" w:rsidRPr="00C1187D">
        <w:rPr>
          <w:lang w:eastAsia="en-US"/>
        </w:rPr>
        <w:t>October</w:t>
      </w:r>
      <w:r w:rsidR="0081136A">
        <w:rPr>
          <w:lang w:eastAsia="en-US"/>
        </w:rPr>
        <w:t> </w:t>
      </w:r>
      <w:r w:rsidR="00BD7C04" w:rsidRPr="00C1187D">
        <w:rPr>
          <w:lang w:eastAsia="en-US"/>
        </w:rPr>
        <w:t xml:space="preserve">1986, </w:t>
      </w:r>
      <w:r w:rsidR="0034289C" w:rsidRPr="00C1187D">
        <w:rPr>
          <w:lang w:eastAsia="en-US"/>
        </w:rPr>
        <w:t>§ </w:t>
      </w:r>
      <w:r w:rsidR="0034289C">
        <w:rPr>
          <w:lang w:eastAsia="en-US"/>
        </w:rPr>
        <w:t xml:space="preserve">37, </w:t>
      </w:r>
      <w:r w:rsidR="00BD7C04" w:rsidRPr="00C1187D">
        <w:rPr>
          <w:lang w:eastAsia="en-US"/>
        </w:rPr>
        <w:t>Series A no. 106</w:t>
      </w:r>
      <w:r w:rsidR="00BD7C04">
        <w:rPr>
          <w:lang w:eastAsia="en-US"/>
        </w:rPr>
        <w:t>).</w:t>
      </w:r>
    </w:p>
    <w:p w:rsidR="00BD7C04" w:rsidRPr="00AE676B" w:rsidRDefault="00C40812" w:rsidP="0039636F">
      <w:pPr>
        <w:pStyle w:val="JuPara"/>
        <w:rPr>
          <w:i/>
          <w:lang w:eastAsia="en-US"/>
        </w:rPr>
      </w:pPr>
      <w:r>
        <w:fldChar w:fldCharType="begin"/>
      </w:r>
      <w:r w:rsidR="00B619BB">
        <w:instrText xml:space="preserve"> SEQ level0 \*arabic </w:instrText>
      </w:r>
      <w:r>
        <w:fldChar w:fldCharType="separate"/>
      </w:r>
      <w:r w:rsidR="006E0C02">
        <w:rPr>
          <w:noProof/>
        </w:rPr>
        <w:t>43</w:t>
      </w:r>
      <w:r>
        <w:fldChar w:fldCharType="end"/>
      </w:r>
      <w:r w:rsidR="00B619BB">
        <w:t>.  </w:t>
      </w:r>
      <w:r w:rsidR="00BD7C04" w:rsidRPr="007B02F5">
        <w:t>The protection of private life has to be balanced</w:t>
      </w:r>
      <w:r w:rsidR="0034289C" w:rsidRPr="0034289C">
        <w:t xml:space="preserve"> </w:t>
      </w:r>
      <w:r w:rsidR="0034289C" w:rsidRPr="007B02F5">
        <w:t>against</w:t>
      </w:r>
      <w:r w:rsidR="00BD7C04" w:rsidRPr="007B02F5">
        <w:t>, among other things, the freedom of expression guaranteed by Article</w:t>
      </w:r>
      <w:r w:rsidR="0081136A">
        <w:t> </w:t>
      </w:r>
      <w:r w:rsidR="00BD7C04" w:rsidRPr="007B02F5">
        <w:t>10 of the Convention. In th</w:t>
      </w:r>
      <w:r w:rsidR="0034289C">
        <w:t>is</w:t>
      </w:r>
      <w:r w:rsidR="00BD7C04" w:rsidRPr="007B02F5">
        <w:t xml:space="preserve"> context the Court </w:t>
      </w:r>
      <w:r w:rsidR="00BD7C04">
        <w:t xml:space="preserve">emphasises the duty of the </w:t>
      </w:r>
      <w:r w:rsidR="00BD7C04" w:rsidRPr="007B02F5">
        <w:t xml:space="preserve">press to </w:t>
      </w:r>
      <w:r w:rsidR="00BD7C04">
        <w:t xml:space="preserve">impart information and ideas on matters of public interest </w:t>
      </w:r>
      <w:r w:rsidR="00BD7C04" w:rsidRPr="007B02F5">
        <w:t xml:space="preserve">(see, among many authorities, </w:t>
      </w:r>
      <w:r w:rsidR="00BD7C04" w:rsidRPr="00CD3603">
        <w:rPr>
          <w:i/>
        </w:rPr>
        <w:t>Observer and Guardian</w:t>
      </w:r>
      <w:r w:rsidR="00BD7C04" w:rsidRPr="000E06C5">
        <w:rPr>
          <w:i/>
        </w:rPr>
        <w:t xml:space="preserve"> </w:t>
      </w:r>
      <w:r w:rsidR="00BD7C04" w:rsidRPr="007B02F5">
        <w:rPr>
          <w:i/>
        </w:rPr>
        <w:t>v.</w:t>
      </w:r>
      <w:r w:rsidR="0081136A">
        <w:rPr>
          <w:i/>
        </w:rPr>
        <w:t> </w:t>
      </w:r>
      <w:r w:rsidR="00BD7C04" w:rsidRPr="007B02F5">
        <w:rPr>
          <w:i/>
        </w:rPr>
        <w:t>the United Kingdom</w:t>
      </w:r>
      <w:r w:rsidR="00BD7C04" w:rsidRPr="007B02F5">
        <w:t>, 26 November</w:t>
      </w:r>
      <w:r w:rsidR="0081136A">
        <w:t> </w:t>
      </w:r>
      <w:r w:rsidR="00BD7C04" w:rsidRPr="007B02F5">
        <w:t>1991</w:t>
      </w:r>
      <w:r w:rsidR="0034289C" w:rsidRPr="007B02F5">
        <w:t>, §</w:t>
      </w:r>
      <w:r w:rsidR="0081136A">
        <w:t> </w:t>
      </w:r>
      <w:r w:rsidR="0034289C" w:rsidRPr="007B02F5">
        <w:t>59</w:t>
      </w:r>
      <w:r w:rsidR="00BD7C04" w:rsidRPr="007B02F5">
        <w:t>, Series</w:t>
      </w:r>
      <w:r w:rsidR="0081136A">
        <w:t> </w:t>
      </w:r>
      <w:r w:rsidR="00BD7C04" w:rsidRPr="007B02F5">
        <w:t>A no.</w:t>
      </w:r>
      <w:r w:rsidR="0081136A">
        <w:t> </w:t>
      </w:r>
      <w:r w:rsidR="00BD7C04" w:rsidRPr="007B02F5">
        <w:t>216</w:t>
      </w:r>
      <w:r w:rsidR="00BD7C04">
        <w:t>).</w:t>
      </w:r>
      <w:r w:rsidR="00BD7C04" w:rsidRPr="007B02F5">
        <w:t>  However</w:t>
      </w:r>
      <w:r w:rsidR="00BD7C04">
        <w:t>,</w:t>
      </w:r>
      <w:r w:rsidR="00BD7C04" w:rsidRPr="007B02F5">
        <w:t xml:space="preserve"> the Court </w:t>
      </w:r>
      <w:r w:rsidR="00BD7C04">
        <w:t xml:space="preserve">notes </w:t>
      </w:r>
      <w:r w:rsidR="00BD7C04" w:rsidRPr="007B02F5">
        <w:t xml:space="preserve">that a fundamental distinction needs to be made between reporting facts – even </w:t>
      </w:r>
      <w:r w:rsidR="00BD7C04">
        <w:t xml:space="preserve">if </w:t>
      </w:r>
      <w:r w:rsidR="00BD7C04" w:rsidRPr="007B02F5">
        <w:t>controversial – capable of contributing to a debate in a democratic society</w:t>
      </w:r>
      <w:r w:rsidR="004B5C05">
        <w:t>,</w:t>
      </w:r>
      <w:r w:rsidR="00BD7C04" w:rsidRPr="007B02F5">
        <w:t xml:space="preserve"> and </w:t>
      </w:r>
      <w:r w:rsidR="00BD7C04">
        <w:t>making</w:t>
      </w:r>
      <w:r w:rsidR="00BD7C04" w:rsidRPr="007B02F5">
        <w:t xml:space="preserve"> </w:t>
      </w:r>
      <w:r w:rsidR="00BD7C04" w:rsidRPr="00AE676B">
        <w:t>tawdry</w:t>
      </w:r>
      <w:r w:rsidR="00BD7C04">
        <w:t xml:space="preserve"> allegations about</w:t>
      </w:r>
      <w:r w:rsidR="00BD7C04" w:rsidRPr="006C5DD2">
        <w:t xml:space="preserve"> </w:t>
      </w:r>
      <w:r w:rsidR="00BD7C04" w:rsidRPr="007B02F5">
        <w:t>an individual</w:t>
      </w:r>
      <w:r w:rsidR="00CE66E6">
        <w:t>’</w:t>
      </w:r>
      <w:r w:rsidR="00BD7C04">
        <w:t>s</w:t>
      </w:r>
      <w:r w:rsidR="00BD7C04" w:rsidRPr="007B02F5">
        <w:t xml:space="preserve"> private life</w:t>
      </w:r>
      <w:r w:rsidR="00BD7C04">
        <w:t xml:space="preserve"> </w:t>
      </w:r>
      <w:r w:rsidR="00BD7C04" w:rsidRPr="007B02F5">
        <w:t>(see</w:t>
      </w:r>
      <w:r w:rsidR="00AE676B">
        <w:t xml:space="preserve"> </w:t>
      </w:r>
      <w:r w:rsidR="00AE676B" w:rsidRPr="00AE676B">
        <w:rPr>
          <w:i/>
          <w:lang w:eastAsia="en-US"/>
        </w:rPr>
        <w:t xml:space="preserve">Biriuk v. </w:t>
      </w:r>
      <w:smartTag w:uri="urn:schemas-microsoft-com:office:smarttags" w:element="country-region">
        <w:smartTag w:uri="urn:schemas-microsoft-com:office:smarttags" w:element="place">
          <w:r w:rsidR="00AE676B" w:rsidRPr="00AE676B">
            <w:rPr>
              <w:i/>
              <w:lang w:eastAsia="en-US"/>
            </w:rPr>
            <w:t>Lithuania</w:t>
          </w:r>
        </w:smartTag>
      </w:smartTag>
      <w:r w:rsidR="00AE676B" w:rsidRPr="00AE676B">
        <w:rPr>
          <w:lang w:eastAsia="en-US"/>
        </w:rPr>
        <w:t>, no.</w:t>
      </w:r>
      <w:r w:rsidR="0081136A">
        <w:rPr>
          <w:lang w:eastAsia="en-US"/>
        </w:rPr>
        <w:t> </w:t>
      </w:r>
      <w:r w:rsidR="00AE676B" w:rsidRPr="00AE676B">
        <w:rPr>
          <w:lang w:eastAsia="en-US"/>
        </w:rPr>
        <w:t>23373/03, §</w:t>
      </w:r>
      <w:r w:rsidR="0081136A">
        <w:rPr>
          <w:lang w:eastAsia="en-US"/>
        </w:rPr>
        <w:t> </w:t>
      </w:r>
      <w:r w:rsidR="00AE676B">
        <w:rPr>
          <w:lang w:eastAsia="en-US"/>
        </w:rPr>
        <w:t>38</w:t>
      </w:r>
      <w:r w:rsidR="00AE676B" w:rsidRPr="00AE676B">
        <w:rPr>
          <w:lang w:eastAsia="en-US"/>
        </w:rPr>
        <w:t>, 25</w:t>
      </w:r>
      <w:r w:rsidR="0081136A">
        <w:rPr>
          <w:lang w:eastAsia="en-US"/>
        </w:rPr>
        <w:t> </w:t>
      </w:r>
      <w:r w:rsidR="00AE676B" w:rsidRPr="00AE676B">
        <w:rPr>
          <w:lang w:eastAsia="en-US"/>
        </w:rPr>
        <w:t>November</w:t>
      </w:r>
      <w:r w:rsidR="0081136A">
        <w:rPr>
          <w:lang w:eastAsia="en-US"/>
        </w:rPr>
        <w:t> </w:t>
      </w:r>
      <w:r w:rsidR="00AE676B" w:rsidRPr="00AE676B">
        <w:rPr>
          <w:lang w:eastAsia="en-US"/>
        </w:rPr>
        <w:t>2008</w:t>
      </w:r>
      <w:r w:rsidR="00BD7C04" w:rsidRPr="007B02F5">
        <w:rPr>
          <w:lang w:eastAsia="en-US"/>
        </w:rPr>
        <w:t>)</w:t>
      </w:r>
      <w:r w:rsidR="00BD7C04">
        <w:t xml:space="preserve">. </w:t>
      </w:r>
      <w:r w:rsidR="00BD7C04">
        <w:rPr>
          <w:lang w:eastAsia="ar-SA"/>
        </w:rPr>
        <w:t>As to respect for the individual</w:t>
      </w:r>
      <w:r w:rsidR="00CE66E6">
        <w:rPr>
          <w:lang w:eastAsia="ar-SA"/>
        </w:rPr>
        <w:t>’</w:t>
      </w:r>
      <w:r w:rsidR="00BD7C04">
        <w:rPr>
          <w:lang w:eastAsia="ar-SA"/>
        </w:rPr>
        <w:t>s private life, t</w:t>
      </w:r>
      <w:r w:rsidR="00BD7C04" w:rsidRPr="007B02F5">
        <w:t xml:space="preserve">he Court reiterates the fundamental importance of </w:t>
      </w:r>
      <w:r w:rsidR="00BD7C04">
        <w:t xml:space="preserve">its </w:t>
      </w:r>
      <w:r w:rsidR="00BD7C04" w:rsidRPr="007B02F5">
        <w:t>protecti</w:t>
      </w:r>
      <w:r w:rsidR="00BD7C04">
        <w:t>on</w:t>
      </w:r>
      <w:r w:rsidR="00BD7C04" w:rsidRPr="007B02F5">
        <w:t xml:space="preserve"> </w:t>
      </w:r>
      <w:r w:rsidR="00BD7C04">
        <w:t>in order to ensure</w:t>
      </w:r>
      <w:r w:rsidR="00BD7C04" w:rsidRPr="007B02F5">
        <w:t xml:space="preserve"> the development of every human being</w:t>
      </w:r>
      <w:r w:rsidR="00CE66E6">
        <w:t>’</w:t>
      </w:r>
      <w:r w:rsidR="00BD7C04" w:rsidRPr="007B02F5">
        <w:t xml:space="preserve">s personality. That protection extends beyond the private family circle </w:t>
      </w:r>
      <w:r w:rsidR="00BD7C04">
        <w:t>to</w:t>
      </w:r>
      <w:r w:rsidR="00BD7C04" w:rsidRPr="007B02F5">
        <w:t xml:space="preserve"> include a social dimension (</w:t>
      </w:r>
      <w:r w:rsidR="00AE676B">
        <w:t xml:space="preserve">see, </w:t>
      </w:r>
      <w:r w:rsidR="00FD0913">
        <w:rPr>
          <w:i/>
          <w:lang w:eastAsia="en-US"/>
        </w:rPr>
        <w:t>Von Hannover</w:t>
      </w:r>
      <w:r w:rsidR="00AE676B" w:rsidRPr="007B02F5">
        <w:rPr>
          <w:lang w:eastAsia="en-US"/>
        </w:rPr>
        <w:t xml:space="preserve">, </w:t>
      </w:r>
      <w:r w:rsidR="00AE676B">
        <w:rPr>
          <w:lang w:eastAsia="en-US"/>
        </w:rPr>
        <w:t>cited above</w:t>
      </w:r>
      <w:r w:rsidR="00BD7C04">
        <w:t>,</w:t>
      </w:r>
      <w:r w:rsidR="00BD7C04" w:rsidRPr="007B02F5" w:rsidDel="00FF59A4">
        <w:t xml:space="preserve"> </w:t>
      </w:r>
      <w:r w:rsidR="00BD7C04" w:rsidRPr="007B02F5">
        <w:rPr>
          <w:lang w:eastAsia="en-US"/>
        </w:rPr>
        <w:t>§ 6</w:t>
      </w:r>
      <w:r w:rsidR="00BD7C04">
        <w:rPr>
          <w:lang w:eastAsia="en-US"/>
        </w:rPr>
        <w:t>9</w:t>
      </w:r>
      <w:r w:rsidR="00BD7C04">
        <w:t>).</w:t>
      </w:r>
    </w:p>
    <w:p w:rsidR="00BD7C04" w:rsidRPr="007B02F5" w:rsidRDefault="00C40812" w:rsidP="0039636F">
      <w:pPr>
        <w:pStyle w:val="JuPara"/>
        <w:rPr>
          <w:lang w:eastAsia="en-US"/>
        </w:rPr>
      </w:pPr>
      <w:r>
        <w:rPr>
          <w:lang w:eastAsia="en-US"/>
        </w:rPr>
        <w:fldChar w:fldCharType="begin"/>
      </w:r>
      <w:r w:rsidR="00BD7C04">
        <w:rPr>
          <w:lang w:eastAsia="en-US"/>
        </w:rPr>
        <w:instrText xml:space="preserve"> SEQ level0 \*arabic </w:instrText>
      </w:r>
      <w:r>
        <w:rPr>
          <w:lang w:eastAsia="en-US"/>
        </w:rPr>
        <w:fldChar w:fldCharType="separate"/>
      </w:r>
      <w:r w:rsidR="006E0C02">
        <w:rPr>
          <w:noProof/>
          <w:lang w:eastAsia="en-US"/>
        </w:rPr>
        <w:t>44</w:t>
      </w:r>
      <w:r>
        <w:rPr>
          <w:lang w:eastAsia="en-US"/>
        </w:rPr>
        <w:fldChar w:fldCharType="end"/>
      </w:r>
      <w:r w:rsidR="00BD7C04">
        <w:rPr>
          <w:lang w:eastAsia="en-US"/>
        </w:rPr>
        <w:t>.  </w:t>
      </w:r>
      <w:r w:rsidR="00BD7C04" w:rsidRPr="007B02F5">
        <w:rPr>
          <w:lang w:eastAsia="en-US"/>
        </w:rPr>
        <w:t xml:space="preserve">More specifically, the Court has previously </w:t>
      </w:r>
      <w:r w:rsidR="00BD7C04">
        <w:rPr>
          <w:lang w:eastAsia="en-US"/>
        </w:rPr>
        <w:t>hel</w:t>
      </w:r>
      <w:r w:rsidR="00BD7C04" w:rsidRPr="007B02F5">
        <w:rPr>
          <w:lang w:eastAsia="en-US"/>
        </w:rPr>
        <w:t>d that the protection of personal data, not least medical data, is of fundamental importance to a person</w:t>
      </w:r>
      <w:r w:rsidR="00CE66E6">
        <w:rPr>
          <w:lang w:eastAsia="en-US"/>
        </w:rPr>
        <w:t>’</w:t>
      </w:r>
      <w:r w:rsidR="00BD7C04" w:rsidRPr="007B02F5">
        <w:rPr>
          <w:lang w:eastAsia="en-US"/>
        </w:rPr>
        <w:t>s enjoyment of his or her right to respect for private and family life as guaranteed by Article</w:t>
      </w:r>
      <w:r w:rsidR="0081136A">
        <w:rPr>
          <w:lang w:eastAsia="en-US"/>
        </w:rPr>
        <w:t> </w:t>
      </w:r>
      <w:r w:rsidR="00BD7C04" w:rsidRPr="007B02F5">
        <w:rPr>
          <w:lang w:eastAsia="en-US"/>
        </w:rPr>
        <w:t xml:space="preserve">8 of the Convention. Respecting the confidentiality of health data is a vital principle in the legal systems of all the Contracting Parties to the Convention. The disclosure of such data may dramatically affect </w:t>
      </w:r>
      <w:r w:rsidR="00264E4E">
        <w:rPr>
          <w:lang w:eastAsia="en-US"/>
        </w:rPr>
        <w:t>an individual</w:t>
      </w:r>
      <w:r w:rsidR="00CE66E6">
        <w:rPr>
          <w:lang w:eastAsia="en-US"/>
        </w:rPr>
        <w:t>’</w:t>
      </w:r>
      <w:r w:rsidR="00264E4E">
        <w:rPr>
          <w:lang w:eastAsia="en-US"/>
        </w:rPr>
        <w:t xml:space="preserve">s </w:t>
      </w:r>
      <w:r w:rsidR="00BD7C04" w:rsidRPr="007B02F5">
        <w:rPr>
          <w:lang w:eastAsia="en-US"/>
        </w:rPr>
        <w:t xml:space="preserve">private and family life, as well as </w:t>
      </w:r>
      <w:r w:rsidR="00264E4E">
        <w:rPr>
          <w:lang w:eastAsia="en-US"/>
        </w:rPr>
        <w:t xml:space="preserve">his or her social and employment </w:t>
      </w:r>
      <w:r w:rsidR="00BD7C04" w:rsidRPr="007B02F5">
        <w:rPr>
          <w:lang w:eastAsia="en-US"/>
        </w:rPr>
        <w:t xml:space="preserve">situation, by exposing </w:t>
      </w:r>
      <w:r w:rsidR="00BD7C04">
        <w:rPr>
          <w:lang w:eastAsia="en-US"/>
        </w:rPr>
        <w:t>that person</w:t>
      </w:r>
      <w:r w:rsidR="00BD7C04" w:rsidRPr="007B02F5">
        <w:rPr>
          <w:lang w:eastAsia="en-US"/>
        </w:rPr>
        <w:t xml:space="preserve"> to opprobrium and the risk of ostracism (see </w:t>
      </w:r>
      <w:r w:rsidR="00BD7C04" w:rsidRPr="007B02F5">
        <w:rPr>
          <w:i/>
          <w:lang w:eastAsia="en-US"/>
        </w:rPr>
        <w:t>Z v.</w:t>
      </w:r>
      <w:r w:rsidR="003D4B4A">
        <w:rPr>
          <w:i/>
          <w:lang w:eastAsia="en-US"/>
        </w:rPr>
        <w:t xml:space="preserve"> </w:t>
      </w:r>
      <w:r w:rsidR="00BD7C04" w:rsidRPr="007B02F5">
        <w:rPr>
          <w:i/>
          <w:lang w:eastAsia="en-US"/>
        </w:rPr>
        <w:t>Finland</w:t>
      </w:r>
      <w:r w:rsidR="00BD7C04" w:rsidRPr="007B02F5">
        <w:rPr>
          <w:lang w:eastAsia="en-US"/>
        </w:rPr>
        <w:t>, 25</w:t>
      </w:r>
      <w:r w:rsidR="0081136A">
        <w:rPr>
          <w:lang w:eastAsia="en-US"/>
        </w:rPr>
        <w:t> </w:t>
      </w:r>
      <w:r w:rsidR="00BD7C04" w:rsidRPr="007B02F5">
        <w:rPr>
          <w:lang w:eastAsia="en-US"/>
        </w:rPr>
        <w:t>February</w:t>
      </w:r>
      <w:r w:rsidR="0081136A">
        <w:rPr>
          <w:lang w:eastAsia="en-US"/>
        </w:rPr>
        <w:t> </w:t>
      </w:r>
      <w:r w:rsidR="00BD7C04" w:rsidRPr="007B02F5">
        <w:rPr>
          <w:lang w:eastAsia="en-US"/>
        </w:rPr>
        <w:t>1997</w:t>
      </w:r>
      <w:r w:rsidR="008F1DCD" w:rsidRPr="007B02F5">
        <w:rPr>
          <w:lang w:eastAsia="en-US"/>
        </w:rPr>
        <w:t xml:space="preserve">, </w:t>
      </w:r>
      <w:r w:rsidR="008F1DCD">
        <w:rPr>
          <w:lang w:eastAsia="en-US"/>
        </w:rPr>
        <w:t>§</w:t>
      </w:r>
      <w:r w:rsidR="008F1DCD" w:rsidRPr="007B02F5">
        <w:rPr>
          <w:lang w:eastAsia="en-US"/>
        </w:rPr>
        <w:t>§ </w:t>
      </w:r>
      <w:r w:rsidR="008F1DCD">
        <w:rPr>
          <w:lang w:eastAsia="en-US"/>
        </w:rPr>
        <w:t>95-</w:t>
      </w:r>
      <w:r w:rsidR="008F1DCD" w:rsidRPr="007B02F5">
        <w:rPr>
          <w:lang w:eastAsia="en-US"/>
        </w:rPr>
        <w:t>96</w:t>
      </w:r>
      <w:r w:rsidR="00BD7C04" w:rsidRPr="007B02F5">
        <w:rPr>
          <w:lang w:eastAsia="en-US"/>
        </w:rPr>
        <w:t xml:space="preserve">, </w:t>
      </w:r>
      <w:r w:rsidR="00BD7C04" w:rsidRPr="007B02F5">
        <w:rPr>
          <w:i/>
          <w:lang w:eastAsia="en-US"/>
        </w:rPr>
        <w:t>Reports</w:t>
      </w:r>
      <w:r w:rsidR="008F1DCD">
        <w:rPr>
          <w:i/>
          <w:lang w:eastAsia="en-US"/>
        </w:rPr>
        <w:t xml:space="preserve"> of Judgments and Decisions</w:t>
      </w:r>
      <w:r w:rsidR="00BD7C04" w:rsidRPr="007B02F5">
        <w:rPr>
          <w:lang w:eastAsia="en-US"/>
        </w:rPr>
        <w:t xml:space="preserve"> 1997</w:t>
      </w:r>
      <w:r w:rsidR="00BD7C04" w:rsidRPr="007B02F5">
        <w:rPr>
          <w:lang w:eastAsia="en-US"/>
        </w:rPr>
        <w:noBreakHyphen/>
        <w:t>I).</w:t>
      </w:r>
    </w:p>
    <w:p w:rsidR="00BD7C04" w:rsidRPr="007B02F5" w:rsidRDefault="00BD7C04" w:rsidP="0039636F">
      <w:pPr>
        <w:pStyle w:val="JuHa0"/>
      </w:pPr>
      <w:r>
        <w:t>(</w:t>
      </w:r>
      <w:r w:rsidRPr="007B02F5">
        <w:t>b</w:t>
      </w:r>
      <w:r>
        <w:t>)</w:t>
      </w:r>
      <w:r w:rsidRPr="007B02F5">
        <w:t>  </w:t>
      </w:r>
      <w:r w:rsidRPr="007B02F5">
        <w:rPr>
          <w:lang w:eastAsia="en-US"/>
        </w:rPr>
        <w:t>Application of these</w:t>
      </w:r>
      <w:r>
        <w:rPr>
          <w:lang w:eastAsia="en-US"/>
        </w:rPr>
        <w:t xml:space="preserve"> general</w:t>
      </w:r>
      <w:r w:rsidRPr="007B02F5">
        <w:rPr>
          <w:lang w:eastAsia="en-US"/>
        </w:rPr>
        <w:t xml:space="preserve"> principles to the present case</w:t>
      </w:r>
    </w:p>
    <w:p w:rsidR="00E24A48" w:rsidRDefault="00C40812" w:rsidP="0039636F">
      <w:pPr>
        <w:pStyle w:val="JuPara"/>
      </w:pPr>
      <w:r>
        <w:rPr>
          <w:lang w:eastAsia="en-US"/>
        </w:rPr>
        <w:fldChar w:fldCharType="begin"/>
      </w:r>
      <w:r w:rsidR="00BD7C04">
        <w:rPr>
          <w:lang w:eastAsia="en-US"/>
        </w:rPr>
        <w:instrText xml:space="preserve"> SEQ level0 \*arabic </w:instrText>
      </w:r>
      <w:r>
        <w:rPr>
          <w:lang w:eastAsia="en-US"/>
        </w:rPr>
        <w:fldChar w:fldCharType="separate"/>
      </w:r>
      <w:r w:rsidR="006E0C02">
        <w:rPr>
          <w:noProof/>
          <w:lang w:eastAsia="en-US"/>
        </w:rPr>
        <w:t>45</w:t>
      </w:r>
      <w:r>
        <w:rPr>
          <w:lang w:eastAsia="en-US"/>
        </w:rPr>
        <w:fldChar w:fldCharType="end"/>
      </w:r>
      <w:r w:rsidR="00BD7C04">
        <w:rPr>
          <w:lang w:eastAsia="en-US"/>
        </w:rPr>
        <w:t>.  </w:t>
      </w:r>
      <w:r w:rsidR="008E05A3" w:rsidRPr="005B2522">
        <w:t>T</w:t>
      </w:r>
      <w:r w:rsidR="00246250">
        <w:t>urning to the circumstances of the instant case</w:t>
      </w:r>
      <w:r w:rsidR="008F1DCD">
        <w:t>,</w:t>
      </w:r>
      <w:r w:rsidR="00246250">
        <w:t xml:space="preserve"> the Court </w:t>
      </w:r>
      <w:r w:rsidR="008F1DCD">
        <w:t>reca</w:t>
      </w:r>
      <w:r w:rsidR="005933AE">
        <w:t>ll</w:t>
      </w:r>
      <w:r w:rsidR="008F1DCD">
        <w:t xml:space="preserve">s </w:t>
      </w:r>
      <w:r w:rsidR="00246250">
        <w:t>that</w:t>
      </w:r>
      <w:r w:rsidR="00E24A48">
        <w:t xml:space="preserve"> on 15</w:t>
      </w:r>
      <w:r w:rsidR="0081136A">
        <w:t> </w:t>
      </w:r>
      <w:r w:rsidR="00E24A48">
        <w:t>June</w:t>
      </w:r>
      <w:r w:rsidR="0081136A">
        <w:t> </w:t>
      </w:r>
      <w:r w:rsidR="00E24A48">
        <w:t xml:space="preserve">2001 an article was printed in </w:t>
      </w:r>
      <w:r w:rsidR="00E24A48" w:rsidRPr="008F1DCD">
        <w:rPr>
          <w:i/>
        </w:rPr>
        <w:t>Lietuvos Aidas</w:t>
      </w:r>
      <w:r w:rsidR="00E24A48">
        <w:t xml:space="preserve">. The applicant recognised herself and her son in that </w:t>
      </w:r>
      <w:r w:rsidR="00264E4E">
        <w:t>article</w:t>
      </w:r>
      <w:r w:rsidR="00E24A48">
        <w:t xml:space="preserve">. The Court has to examine whether the applicant was indeed </w:t>
      </w:r>
      <w:r w:rsidR="009A40A8">
        <w:t>identifiable</w:t>
      </w:r>
      <w:r w:rsidR="00E24A48">
        <w:t xml:space="preserve"> from the article in question.</w:t>
      </w:r>
    </w:p>
    <w:p w:rsidR="00404F2A" w:rsidRDefault="00C40812" w:rsidP="0039636F">
      <w:pPr>
        <w:pStyle w:val="JuPara"/>
      </w:pPr>
      <w:r>
        <w:fldChar w:fldCharType="begin"/>
      </w:r>
      <w:r w:rsidR="00E24A48">
        <w:instrText xml:space="preserve"> SEQ level0 \*arabic </w:instrText>
      </w:r>
      <w:r>
        <w:fldChar w:fldCharType="separate"/>
      </w:r>
      <w:r w:rsidR="006E0C02">
        <w:rPr>
          <w:noProof/>
        </w:rPr>
        <w:t>46</w:t>
      </w:r>
      <w:r>
        <w:fldChar w:fldCharType="end"/>
      </w:r>
      <w:r w:rsidR="00E24A48">
        <w:t xml:space="preserve">.  The Court </w:t>
      </w:r>
      <w:r w:rsidR="00C31A64">
        <w:t>finds</w:t>
      </w:r>
      <w:r w:rsidR="00E24A48">
        <w:t xml:space="preserve"> that</w:t>
      </w:r>
      <w:r w:rsidR="00C31A64">
        <w:t xml:space="preserve">, as </w:t>
      </w:r>
      <w:r w:rsidR="00264E4E">
        <w:t>was</w:t>
      </w:r>
      <w:r w:rsidR="00C31A64">
        <w:t xml:space="preserve"> </w:t>
      </w:r>
      <w:r w:rsidR="005933AE">
        <w:t>maintain</w:t>
      </w:r>
      <w:r w:rsidR="00C31A64">
        <w:t>ed by the Government,</w:t>
      </w:r>
      <w:r w:rsidR="00E24A48">
        <w:t xml:space="preserve"> the article </w:t>
      </w:r>
      <w:r w:rsidR="00C31A64">
        <w:t>set</w:t>
      </w:r>
      <w:r w:rsidR="00264E4E">
        <w:t xml:space="preserve"> out to</w:t>
      </w:r>
      <w:r w:rsidR="00C31A64">
        <w:t xml:space="preserve"> </w:t>
      </w:r>
      <w:r w:rsidR="00E24A48">
        <w:t xml:space="preserve">describe the general problems that the CWS </w:t>
      </w:r>
      <w:r w:rsidR="00C31A64">
        <w:t>tackle</w:t>
      </w:r>
      <w:r w:rsidR="008F1DCD">
        <w:t>d</w:t>
      </w:r>
      <w:r w:rsidR="00C31A64">
        <w:t xml:space="preserve"> in its everyday activities</w:t>
      </w:r>
      <w:r w:rsidR="00777E32">
        <w:t xml:space="preserve"> when protecting </w:t>
      </w:r>
      <w:r w:rsidR="00B34242">
        <w:t xml:space="preserve">the rights of </w:t>
      </w:r>
      <w:r w:rsidR="00777E32">
        <w:t>children</w:t>
      </w:r>
      <w:r w:rsidR="00C31A64">
        <w:t xml:space="preserve">. </w:t>
      </w:r>
      <w:r w:rsidR="000C026C">
        <w:t>It</w:t>
      </w:r>
      <w:r w:rsidR="00F77DA7">
        <w:t xml:space="preserve"> observes</w:t>
      </w:r>
      <w:r w:rsidR="00C31A64">
        <w:t>, however, that as an illustration of the issues</w:t>
      </w:r>
      <w:r w:rsidR="008F1DCD">
        <w:t xml:space="preserve"> dealt with by</w:t>
      </w:r>
      <w:r w:rsidR="00C31A64">
        <w:t xml:space="preserve"> the Service the director of the CWS mentioned a civil case where a boy of the applicant</w:t>
      </w:r>
      <w:r w:rsidR="00CE66E6">
        <w:t>’</w:t>
      </w:r>
      <w:r w:rsidR="00C31A64">
        <w:t xml:space="preserve">s </w:t>
      </w:r>
      <w:r w:rsidR="00172205">
        <w:t>son</w:t>
      </w:r>
      <w:r w:rsidR="00CE66E6">
        <w:t>’</w:t>
      </w:r>
      <w:r w:rsidR="00172205">
        <w:t xml:space="preserve">s age was </w:t>
      </w:r>
      <w:r w:rsidR="005933AE">
        <w:t>involved</w:t>
      </w:r>
      <w:r w:rsidR="00172205">
        <w:t xml:space="preserve"> in court proceedings </w:t>
      </w:r>
      <w:r w:rsidR="008F1DCD">
        <w:t>concerning his</w:t>
      </w:r>
      <w:r w:rsidR="00172205">
        <w:t xml:space="preserve"> place of residence. That being so, the question remains whether th</w:t>
      </w:r>
      <w:r w:rsidR="00F77DA7">
        <w:t>at</w:t>
      </w:r>
      <w:r w:rsidR="00172205">
        <w:t xml:space="preserve"> </w:t>
      </w:r>
      <w:r w:rsidR="00F77DA7">
        <w:t>circumstance and other facts</w:t>
      </w:r>
      <w:r w:rsidR="008F1DCD">
        <w:t>, as</w:t>
      </w:r>
      <w:r w:rsidR="00172205">
        <w:t xml:space="preserve"> they were portrayed in the </w:t>
      </w:r>
      <w:r w:rsidR="0039636F">
        <w:t>article</w:t>
      </w:r>
      <w:r w:rsidR="00172205">
        <w:t>, permitted the applicant</w:t>
      </w:r>
      <w:r w:rsidR="00CE66E6">
        <w:t>’</w:t>
      </w:r>
      <w:r w:rsidR="00172205">
        <w:t xml:space="preserve">s son </w:t>
      </w:r>
      <w:r w:rsidR="008F1DCD">
        <w:t xml:space="preserve">to be identified </w:t>
      </w:r>
      <w:r w:rsidR="00172205">
        <w:t>from them.</w:t>
      </w:r>
    </w:p>
    <w:p w:rsidR="00404F2A" w:rsidRDefault="00C40812" w:rsidP="004C00F3">
      <w:pPr>
        <w:pStyle w:val="JuPara"/>
      </w:pPr>
      <w:r>
        <w:fldChar w:fldCharType="begin"/>
      </w:r>
      <w:r w:rsidR="00172205">
        <w:instrText xml:space="preserve"> SEQ level0 \*arabic </w:instrText>
      </w:r>
      <w:r>
        <w:fldChar w:fldCharType="separate"/>
      </w:r>
      <w:r w:rsidR="006E0C02">
        <w:rPr>
          <w:noProof/>
        </w:rPr>
        <w:t>47</w:t>
      </w:r>
      <w:r>
        <w:fldChar w:fldCharType="end"/>
      </w:r>
      <w:r w:rsidR="00172205">
        <w:t>.  T</w:t>
      </w:r>
      <w:r w:rsidR="00E24A48">
        <w:t xml:space="preserve">urning to the language used in the impugned article, the Court </w:t>
      </w:r>
      <w:r w:rsidR="00172205">
        <w:t>observes that at no point did the director of the CWS reveal</w:t>
      </w:r>
      <w:r w:rsidR="006E03D5">
        <w:t xml:space="preserve"> </w:t>
      </w:r>
      <w:r w:rsidR="00172205">
        <w:t xml:space="preserve">the </w:t>
      </w:r>
      <w:r w:rsidR="00E53611">
        <w:t xml:space="preserve">first or family </w:t>
      </w:r>
      <w:r w:rsidR="00172205">
        <w:t xml:space="preserve">name of the applicant, her son or his father. </w:t>
      </w:r>
      <w:r w:rsidR="00E53611">
        <w:t>N</w:t>
      </w:r>
      <w:r w:rsidR="008F1DCD">
        <w:t>o</w:t>
      </w:r>
      <w:r w:rsidR="00E53611">
        <w:t xml:space="preserve">r </w:t>
      </w:r>
      <w:r w:rsidR="008F1DCD">
        <w:t xml:space="preserve">were their </w:t>
      </w:r>
      <w:r w:rsidR="00E53611">
        <w:t>initials</w:t>
      </w:r>
      <w:r w:rsidR="008F1DCD">
        <w:t xml:space="preserve"> used</w:t>
      </w:r>
      <w:r w:rsidR="00E53611">
        <w:t xml:space="preserve">. Given that the article appeared to describe the matters </w:t>
      </w:r>
      <w:r w:rsidR="00264E4E">
        <w:t xml:space="preserve">tackled by </w:t>
      </w:r>
      <w:r w:rsidR="00E53611">
        <w:t xml:space="preserve">the Vilnius </w:t>
      </w:r>
      <w:r w:rsidR="006E03D5">
        <w:t>branch</w:t>
      </w:r>
      <w:r w:rsidR="00E53611">
        <w:t xml:space="preserve"> of the CWS, and, </w:t>
      </w:r>
      <w:r w:rsidR="008F1DCD">
        <w:t xml:space="preserve">according </w:t>
      </w:r>
      <w:r w:rsidR="00E53611">
        <w:t xml:space="preserve">to the </w:t>
      </w:r>
      <w:r w:rsidR="00733D20">
        <w:t>publication</w:t>
      </w:r>
      <w:r w:rsidR="00E53611">
        <w:t xml:space="preserve">, some </w:t>
      </w:r>
      <w:r w:rsidR="00E53611">
        <w:rPr>
          <w:szCs w:val="24"/>
        </w:rPr>
        <w:t>122,000</w:t>
      </w:r>
      <w:r w:rsidR="0081136A">
        <w:rPr>
          <w:szCs w:val="24"/>
        </w:rPr>
        <w:t> </w:t>
      </w:r>
      <w:r w:rsidR="00E53611">
        <w:rPr>
          <w:szCs w:val="24"/>
        </w:rPr>
        <w:t>children live in Vilnius</w:t>
      </w:r>
      <w:r w:rsidR="006E03D5">
        <w:rPr>
          <w:szCs w:val="24"/>
        </w:rPr>
        <w:t>,</w:t>
      </w:r>
      <w:r w:rsidR="00E53611">
        <w:rPr>
          <w:szCs w:val="24"/>
        </w:rPr>
        <w:t xml:space="preserve"> </w:t>
      </w:r>
      <w:r w:rsidR="006E03D5">
        <w:rPr>
          <w:szCs w:val="24"/>
        </w:rPr>
        <w:t>including</w:t>
      </w:r>
      <w:r w:rsidR="00E53611">
        <w:rPr>
          <w:szCs w:val="24"/>
        </w:rPr>
        <w:t xml:space="preserve"> the applicant</w:t>
      </w:r>
      <w:r w:rsidR="00CE66E6">
        <w:rPr>
          <w:szCs w:val="24"/>
        </w:rPr>
        <w:t>’</w:t>
      </w:r>
      <w:r w:rsidR="00E53611">
        <w:rPr>
          <w:szCs w:val="24"/>
        </w:rPr>
        <w:t xml:space="preserve">s son, the Court is not </w:t>
      </w:r>
      <w:r w:rsidR="008F1DCD">
        <w:rPr>
          <w:szCs w:val="24"/>
        </w:rPr>
        <w:t xml:space="preserve">inclined </w:t>
      </w:r>
      <w:r w:rsidR="00E53611">
        <w:rPr>
          <w:szCs w:val="24"/>
        </w:rPr>
        <w:t xml:space="preserve">to find that </w:t>
      </w:r>
      <w:r w:rsidR="00733D20">
        <w:rPr>
          <w:szCs w:val="24"/>
        </w:rPr>
        <w:t xml:space="preserve">the applicant or her son were sufficiently identifiable from that article (see, by </w:t>
      </w:r>
      <w:r w:rsidR="00264E4E">
        <w:rPr>
          <w:szCs w:val="24"/>
        </w:rPr>
        <w:t>contrast</w:t>
      </w:r>
      <w:r w:rsidR="00733D20">
        <w:rPr>
          <w:szCs w:val="24"/>
        </w:rPr>
        <w:t xml:space="preserve">, </w:t>
      </w:r>
      <w:r w:rsidR="00733D20" w:rsidRPr="00733D20">
        <w:rPr>
          <w:i/>
          <w:lang w:eastAsia="en-US"/>
        </w:rPr>
        <w:t>Biriuk</w:t>
      </w:r>
      <w:r w:rsidR="00733D20" w:rsidRPr="00733D20">
        <w:rPr>
          <w:lang w:eastAsia="en-US"/>
        </w:rPr>
        <w:t xml:space="preserve">, </w:t>
      </w:r>
      <w:r w:rsidR="0081136A">
        <w:rPr>
          <w:lang w:eastAsia="en-US"/>
        </w:rPr>
        <w:t xml:space="preserve">cited above, </w:t>
      </w:r>
      <w:r w:rsidR="00733D20" w:rsidRPr="00733D20">
        <w:rPr>
          <w:lang w:eastAsia="en-US"/>
        </w:rPr>
        <w:t>§</w:t>
      </w:r>
      <w:r w:rsidR="0081136A">
        <w:rPr>
          <w:lang w:eastAsia="en-US"/>
        </w:rPr>
        <w:t> </w:t>
      </w:r>
      <w:r w:rsidR="00733D20">
        <w:rPr>
          <w:lang w:eastAsia="en-US"/>
        </w:rPr>
        <w:t>41</w:t>
      </w:r>
      <w:r w:rsidR="00733D20">
        <w:rPr>
          <w:szCs w:val="24"/>
        </w:rPr>
        <w:t xml:space="preserve">). Furthermore, whilst noting with concern that </w:t>
      </w:r>
      <w:r w:rsidR="006E03D5">
        <w:rPr>
          <w:szCs w:val="24"/>
        </w:rPr>
        <w:t xml:space="preserve">in the publication at issue </w:t>
      </w:r>
      <w:r w:rsidR="00733D20">
        <w:rPr>
          <w:szCs w:val="24"/>
        </w:rPr>
        <w:t xml:space="preserve">the CWS revealed </w:t>
      </w:r>
      <w:r w:rsidR="008F1DCD">
        <w:rPr>
          <w:szCs w:val="24"/>
        </w:rPr>
        <w:t xml:space="preserve">the </w:t>
      </w:r>
      <w:r w:rsidR="00733D20">
        <w:rPr>
          <w:szCs w:val="24"/>
        </w:rPr>
        <w:t xml:space="preserve">medical records of </w:t>
      </w:r>
      <w:r w:rsidR="006E03D5">
        <w:rPr>
          <w:szCs w:val="24"/>
        </w:rPr>
        <w:t>a</w:t>
      </w:r>
      <w:r w:rsidR="00733D20">
        <w:rPr>
          <w:szCs w:val="24"/>
        </w:rPr>
        <w:t xml:space="preserve"> boy, the Court </w:t>
      </w:r>
      <w:r w:rsidR="00733D20" w:rsidRPr="006526DC">
        <w:t xml:space="preserve">nevertheless finds that the diagnosis, as </w:t>
      </w:r>
      <w:r w:rsidR="00264E4E" w:rsidRPr="006526DC">
        <w:t>given</w:t>
      </w:r>
      <w:r w:rsidR="00733D20" w:rsidRPr="006526DC">
        <w:t xml:space="preserve"> in those records, was not sufficiently </w:t>
      </w:r>
      <w:r w:rsidR="00C06EFE" w:rsidRPr="006526DC">
        <w:t>distinctive</w:t>
      </w:r>
      <w:r w:rsidR="00733D20" w:rsidRPr="006526DC">
        <w:t xml:space="preserve"> </w:t>
      </w:r>
      <w:r w:rsidR="008F1DCD" w:rsidRPr="006526DC">
        <w:t>for</w:t>
      </w:r>
      <w:r w:rsidR="00733D20" w:rsidRPr="006526DC">
        <w:t xml:space="preserve"> the applicant</w:t>
      </w:r>
      <w:r w:rsidR="00CE66E6">
        <w:t>’</w:t>
      </w:r>
      <w:r w:rsidR="00733D20" w:rsidRPr="006526DC">
        <w:t xml:space="preserve">s son </w:t>
      </w:r>
      <w:r w:rsidR="008F1DCD" w:rsidRPr="006526DC">
        <w:t>to be</w:t>
      </w:r>
      <w:r w:rsidR="00733D20" w:rsidRPr="006526DC">
        <w:t xml:space="preserve"> identified on </w:t>
      </w:r>
      <w:r w:rsidR="008F1DCD" w:rsidRPr="006526DC">
        <w:t xml:space="preserve">the </w:t>
      </w:r>
      <w:r w:rsidR="00733D20" w:rsidRPr="006526DC">
        <w:t>basis</w:t>
      </w:r>
      <w:r w:rsidR="008F1DCD" w:rsidRPr="006526DC">
        <w:t xml:space="preserve"> of it</w:t>
      </w:r>
      <w:r w:rsidR="006526DC" w:rsidRPr="006526DC">
        <w:t>, other than by persons already involved in the proceedings relating to him</w:t>
      </w:r>
      <w:r w:rsidR="00733D20" w:rsidRPr="006526DC">
        <w:t>.</w:t>
      </w:r>
    </w:p>
    <w:p w:rsidR="005B2CDB" w:rsidRPr="00566575" w:rsidRDefault="00C40812" w:rsidP="004C00F3">
      <w:pPr>
        <w:pStyle w:val="JuPara"/>
        <w:rPr>
          <w:szCs w:val="24"/>
        </w:rPr>
      </w:pPr>
      <w:r>
        <w:fldChar w:fldCharType="begin"/>
      </w:r>
      <w:r w:rsidR="00F83C01">
        <w:instrText xml:space="preserve"> SEQ level0 \*arabic </w:instrText>
      </w:r>
      <w:r>
        <w:fldChar w:fldCharType="separate"/>
      </w:r>
      <w:r w:rsidR="006E0C02">
        <w:rPr>
          <w:noProof/>
        </w:rPr>
        <w:t>48</w:t>
      </w:r>
      <w:r>
        <w:fldChar w:fldCharType="end"/>
      </w:r>
      <w:r w:rsidR="00F83C01">
        <w:t>.  </w:t>
      </w:r>
      <w:r w:rsidR="00752E42">
        <w:t xml:space="preserve">It </w:t>
      </w:r>
      <w:r w:rsidR="004C00F3">
        <w:t>must also be noted</w:t>
      </w:r>
      <w:r w:rsidR="00752E42">
        <w:t xml:space="preserve"> </w:t>
      </w:r>
      <w:r w:rsidR="00512186">
        <w:rPr>
          <w:szCs w:val="24"/>
        </w:rPr>
        <w:t>that the applicant</w:t>
      </w:r>
      <w:r w:rsidR="00CE66E6">
        <w:rPr>
          <w:szCs w:val="24"/>
        </w:rPr>
        <w:t>’</w:t>
      </w:r>
      <w:r w:rsidR="00512186">
        <w:rPr>
          <w:szCs w:val="24"/>
        </w:rPr>
        <w:t xml:space="preserve">s contentions that she was recognisable from the article </w:t>
      </w:r>
      <w:r w:rsidR="00264E4E">
        <w:rPr>
          <w:szCs w:val="24"/>
        </w:rPr>
        <w:t>were</w:t>
      </w:r>
      <w:r w:rsidR="00512186">
        <w:rPr>
          <w:szCs w:val="24"/>
        </w:rPr>
        <w:t xml:space="preserve"> dismissed by the domestic </w:t>
      </w:r>
      <w:r w:rsidR="004C00F3">
        <w:rPr>
          <w:szCs w:val="24"/>
        </w:rPr>
        <w:t xml:space="preserve">courts; their </w:t>
      </w:r>
      <w:r w:rsidR="00566575">
        <w:rPr>
          <w:szCs w:val="24"/>
        </w:rPr>
        <w:t>assessment</w:t>
      </w:r>
      <w:r w:rsidR="004C00F3">
        <w:rPr>
          <w:szCs w:val="24"/>
        </w:rPr>
        <w:t xml:space="preserve"> do</w:t>
      </w:r>
      <w:r w:rsidR="00566575">
        <w:rPr>
          <w:szCs w:val="24"/>
        </w:rPr>
        <w:t>es</w:t>
      </w:r>
      <w:r w:rsidR="004C00F3">
        <w:rPr>
          <w:szCs w:val="24"/>
        </w:rPr>
        <w:t xml:space="preserve"> not appear arbitrary. The Court also notes that no other information –</w:t>
      </w:r>
      <w:r w:rsidR="00566575">
        <w:rPr>
          <w:szCs w:val="24"/>
        </w:rPr>
        <w:t xml:space="preserve"> the applicant</w:t>
      </w:r>
      <w:r w:rsidR="00CE66E6">
        <w:rPr>
          <w:szCs w:val="24"/>
        </w:rPr>
        <w:t>’</w:t>
      </w:r>
      <w:r w:rsidR="00566575">
        <w:rPr>
          <w:szCs w:val="24"/>
        </w:rPr>
        <w:t>s</w:t>
      </w:r>
      <w:r w:rsidR="004C00F3">
        <w:rPr>
          <w:szCs w:val="24"/>
        </w:rPr>
        <w:t xml:space="preserve"> profession, place of work, occupation, appearance, place of residence</w:t>
      </w:r>
      <w:r w:rsidR="00566575">
        <w:rPr>
          <w:szCs w:val="24"/>
        </w:rPr>
        <w:t xml:space="preserve"> – had been mentioned in the article. </w:t>
      </w:r>
      <w:r w:rsidR="00566575" w:rsidRPr="00566575">
        <w:rPr>
          <w:szCs w:val="24"/>
        </w:rPr>
        <w:t xml:space="preserve">Moreover, the Court also takes into account the fact that </w:t>
      </w:r>
      <w:r w:rsidR="009D78FC">
        <w:rPr>
          <w:szCs w:val="24"/>
        </w:rPr>
        <w:t xml:space="preserve">almost </w:t>
      </w:r>
      <w:r w:rsidR="00566575" w:rsidRPr="00566575">
        <w:rPr>
          <w:szCs w:val="24"/>
        </w:rPr>
        <w:t xml:space="preserve">all </w:t>
      </w:r>
      <w:r w:rsidR="00566575">
        <w:rPr>
          <w:szCs w:val="24"/>
        </w:rPr>
        <w:t xml:space="preserve">the </w:t>
      </w:r>
      <w:r w:rsidR="00566575" w:rsidRPr="00566575">
        <w:rPr>
          <w:szCs w:val="24"/>
        </w:rPr>
        <w:t xml:space="preserve">disputed information </w:t>
      </w:r>
      <w:r w:rsidR="00B02DD5" w:rsidRPr="00B02DD5">
        <w:rPr>
          <w:szCs w:val="24"/>
        </w:rPr>
        <w:t>concerning the applicant</w:t>
      </w:r>
      <w:r w:rsidR="00CE66E6">
        <w:rPr>
          <w:szCs w:val="24"/>
        </w:rPr>
        <w:t>’</w:t>
      </w:r>
      <w:r w:rsidR="00B02DD5" w:rsidRPr="00B02DD5">
        <w:rPr>
          <w:szCs w:val="24"/>
        </w:rPr>
        <w:t>s private life and her son</w:t>
      </w:r>
      <w:r w:rsidR="00CE66E6">
        <w:rPr>
          <w:szCs w:val="24"/>
        </w:rPr>
        <w:t>’</w:t>
      </w:r>
      <w:r w:rsidR="00B02DD5" w:rsidRPr="00B02DD5">
        <w:rPr>
          <w:szCs w:val="24"/>
        </w:rPr>
        <w:t>s health</w:t>
      </w:r>
      <w:r w:rsidR="00B02DD5">
        <w:rPr>
          <w:szCs w:val="24"/>
        </w:rPr>
        <w:t xml:space="preserve"> </w:t>
      </w:r>
      <w:r w:rsidR="00566575" w:rsidRPr="00566575">
        <w:rPr>
          <w:szCs w:val="24"/>
        </w:rPr>
        <w:t>had already been</w:t>
      </w:r>
      <w:r w:rsidR="00C40328">
        <w:rPr>
          <w:szCs w:val="24"/>
        </w:rPr>
        <w:t xml:space="preserve"> spread</w:t>
      </w:r>
      <w:r w:rsidR="00566575" w:rsidRPr="00566575">
        <w:rPr>
          <w:szCs w:val="24"/>
        </w:rPr>
        <w:t xml:space="preserve"> i</w:t>
      </w:r>
      <w:r w:rsidR="00566575">
        <w:rPr>
          <w:szCs w:val="24"/>
        </w:rPr>
        <w:t>n the public domain (see paragraphs</w:t>
      </w:r>
      <w:r w:rsidR="0081136A">
        <w:rPr>
          <w:szCs w:val="24"/>
        </w:rPr>
        <w:t> </w:t>
      </w:r>
      <w:r w:rsidR="00566575" w:rsidRPr="00566575">
        <w:rPr>
          <w:szCs w:val="24"/>
        </w:rPr>
        <w:t>7-9</w:t>
      </w:r>
      <w:r w:rsidR="00566575">
        <w:rPr>
          <w:szCs w:val="24"/>
        </w:rPr>
        <w:t xml:space="preserve"> above</w:t>
      </w:r>
      <w:r w:rsidR="00566575" w:rsidRPr="00566575">
        <w:rPr>
          <w:szCs w:val="24"/>
        </w:rPr>
        <w:t xml:space="preserve">). Therefore, the Court concludes that the content of the publication was not such as to allow the identification either of the applicant or her son. </w:t>
      </w:r>
      <w:r w:rsidR="002132FE">
        <w:rPr>
          <w:szCs w:val="24"/>
        </w:rPr>
        <w:t>As a result, there has been no interference with the applicant</w:t>
      </w:r>
      <w:r w:rsidR="00CE66E6">
        <w:rPr>
          <w:szCs w:val="24"/>
        </w:rPr>
        <w:t>’</w:t>
      </w:r>
      <w:r w:rsidR="002132FE">
        <w:rPr>
          <w:szCs w:val="24"/>
        </w:rPr>
        <w:t>s and her son</w:t>
      </w:r>
      <w:r w:rsidR="00CE66E6">
        <w:rPr>
          <w:szCs w:val="24"/>
        </w:rPr>
        <w:t>’</w:t>
      </w:r>
      <w:r w:rsidR="002132FE">
        <w:rPr>
          <w:szCs w:val="24"/>
        </w:rPr>
        <w:t>s private life under Article</w:t>
      </w:r>
      <w:r w:rsidR="0081136A">
        <w:rPr>
          <w:szCs w:val="24"/>
        </w:rPr>
        <w:t> </w:t>
      </w:r>
      <w:r w:rsidR="002132FE">
        <w:rPr>
          <w:szCs w:val="24"/>
        </w:rPr>
        <w:t>8 of the Convention.</w:t>
      </w:r>
    </w:p>
    <w:p w:rsidR="00F71A6A" w:rsidRPr="005B2522" w:rsidRDefault="00F71A6A" w:rsidP="0039636F">
      <w:pPr>
        <w:pStyle w:val="JuPara"/>
      </w:pPr>
      <w:r w:rsidRPr="005B2522">
        <w:t xml:space="preserve">There has accordingly been </w:t>
      </w:r>
      <w:r w:rsidR="00B619BB">
        <w:t>no</w:t>
      </w:r>
      <w:r w:rsidRPr="005B2522">
        <w:t xml:space="preserve"> violation of Article </w:t>
      </w:r>
      <w:r w:rsidR="00B619BB">
        <w:t>8</w:t>
      </w:r>
      <w:r w:rsidRPr="005B2522">
        <w:t xml:space="preserve"> of the Convention.</w:t>
      </w:r>
    </w:p>
    <w:p w:rsidR="00F71A6A" w:rsidRPr="005B2522" w:rsidRDefault="00F95909" w:rsidP="0039636F">
      <w:pPr>
        <w:pStyle w:val="JuHIRoman"/>
      </w:pPr>
      <w:r>
        <w:t>II</w:t>
      </w:r>
      <w:r w:rsidR="00F71A6A" w:rsidRPr="005B2522">
        <w:t>.</w:t>
      </w:r>
      <w:r w:rsidR="00337600" w:rsidRPr="005B2522">
        <w:t xml:space="preserve"> ALLEGED VIOLATION OF ARTICLE </w:t>
      </w:r>
      <w:r>
        <w:t>13</w:t>
      </w:r>
      <w:r w:rsidR="00F71A6A" w:rsidRPr="005B2522">
        <w:t xml:space="preserve"> OF THE CONVENTION</w:t>
      </w:r>
    </w:p>
    <w:p w:rsidR="00E91693" w:rsidRDefault="00C40812" w:rsidP="0039636F">
      <w:pPr>
        <w:suppressAutoHyphens w:val="0"/>
        <w:autoSpaceDE w:val="0"/>
        <w:autoSpaceDN w:val="0"/>
        <w:adjustRightInd w:val="0"/>
        <w:ind w:firstLine="284"/>
        <w:jc w:val="both"/>
        <w:rPr>
          <w:color w:val="000000"/>
          <w:szCs w:val="24"/>
          <w:lang w:eastAsia="en-GB"/>
        </w:rPr>
      </w:pPr>
      <w:r>
        <w:fldChar w:fldCharType="begin"/>
      </w:r>
      <w:r w:rsidR="00F83C01">
        <w:instrText xml:space="preserve"> SEQ level0 \*arabic </w:instrText>
      </w:r>
      <w:r>
        <w:fldChar w:fldCharType="separate"/>
      </w:r>
      <w:r w:rsidR="006E0C02">
        <w:rPr>
          <w:noProof/>
        </w:rPr>
        <w:t>49</w:t>
      </w:r>
      <w:r>
        <w:fldChar w:fldCharType="end"/>
      </w:r>
      <w:r w:rsidR="00F83C01">
        <w:t>.  </w:t>
      </w:r>
      <w:r w:rsidR="00F95909">
        <w:t xml:space="preserve">The applicant further complained that the courts </w:t>
      </w:r>
      <w:r w:rsidR="00C76AFF">
        <w:t xml:space="preserve">had </w:t>
      </w:r>
      <w:r w:rsidR="00F95909">
        <w:t>refused to protect her right to privacy. She invoked Article</w:t>
      </w:r>
      <w:r w:rsidR="0081136A">
        <w:t> </w:t>
      </w:r>
      <w:r w:rsidR="00F95909">
        <w:t>13 of the Convention</w:t>
      </w:r>
      <w:r w:rsidR="00E91693">
        <w:t>, which</w:t>
      </w:r>
      <w:r w:rsidR="00F95909">
        <w:t xml:space="preserve"> </w:t>
      </w:r>
      <w:r w:rsidR="00E91693">
        <w:rPr>
          <w:color w:val="000000"/>
          <w:szCs w:val="24"/>
          <w:lang w:eastAsia="en-GB"/>
        </w:rPr>
        <w:t>reads as follows:</w:t>
      </w:r>
    </w:p>
    <w:p w:rsidR="00F71A6A" w:rsidRPr="005B2522" w:rsidRDefault="00E91693" w:rsidP="0039636F">
      <w:pPr>
        <w:pStyle w:val="JuQuot"/>
      </w:pPr>
      <w:r>
        <w:rPr>
          <w:lang w:eastAsia="en-GB"/>
        </w:rPr>
        <w:t>“Everyone whose rights and freedoms as set forth in [the] Convention are violated shall have an effective remedy before a national authority notwithstanding that the violation has been committed by persons acting in an official capacity.”</w:t>
      </w:r>
    </w:p>
    <w:p w:rsidR="00846218" w:rsidRPr="006874B9" w:rsidRDefault="00846218" w:rsidP="0039636F">
      <w:pPr>
        <w:pStyle w:val="JuH1"/>
      </w:pPr>
      <w:r w:rsidRPr="006874B9">
        <w:t>1</w:t>
      </w:r>
      <w:r>
        <w:t>.  The parties</w:t>
      </w:r>
      <w:r w:rsidR="00CE66E6">
        <w:t>’</w:t>
      </w:r>
      <w:r>
        <w:t xml:space="preserve"> submissions</w:t>
      </w:r>
    </w:p>
    <w:p w:rsidR="00BA6B8F" w:rsidRPr="007B02F5" w:rsidRDefault="00BA6B8F" w:rsidP="0039636F">
      <w:pPr>
        <w:pStyle w:val="JuHa0"/>
      </w:pPr>
      <w:r>
        <w:t>(</w:t>
      </w:r>
      <w:r w:rsidRPr="007B02F5">
        <w:t>a</w:t>
      </w:r>
      <w:r>
        <w:t>)</w:t>
      </w:r>
      <w:r w:rsidRPr="007B02F5">
        <w:t>  </w:t>
      </w:r>
      <w:r>
        <w:t>The applicant</w:t>
      </w:r>
    </w:p>
    <w:p w:rsidR="00425474" w:rsidRDefault="00C40812" w:rsidP="0039636F">
      <w:pPr>
        <w:pStyle w:val="JuPara"/>
      </w:pPr>
      <w:r>
        <w:fldChar w:fldCharType="begin"/>
      </w:r>
      <w:r w:rsidR="00F83C01">
        <w:instrText xml:space="preserve"> SEQ level0 \*arabic </w:instrText>
      </w:r>
      <w:r>
        <w:fldChar w:fldCharType="separate"/>
      </w:r>
      <w:r w:rsidR="006E0C02">
        <w:rPr>
          <w:noProof/>
        </w:rPr>
        <w:t>50</w:t>
      </w:r>
      <w:r>
        <w:fldChar w:fldCharType="end"/>
      </w:r>
      <w:r w:rsidR="00F83C01">
        <w:t>.  </w:t>
      </w:r>
      <w:r w:rsidR="00846218">
        <w:t xml:space="preserve">The applicant argued that the courts </w:t>
      </w:r>
      <w:r w:rsidR="00C76AFF">
        <w:t xml:space="preserve">had </w:t>
      </w:r>
      <w:r w:rsidR="00425474">
        <w:t xml:space="preserve">concentrated their attention </w:t>
      </w:r>
      <w:r w:rsidR="00C76AFF">
        <w:t xml:space="preserve">on </w:t>
      </w:r>
      <w:r w:rsidR="00425474">
        <w:t xml:space="preserve">the fact that the </w:t>
      </w:r>
      <w:r w:rsidR="00AC1B1F">
        <w:t>article of 15</w:t>
      </w:r>
      <w:r w:rsidR="0081136A">
        <w:t> </w:t>
      </w:r>
      <w:r w:rsidR="00AC1B1F">
        <w:t>June</w:t>
      </w:r>
      <w:r w:rsidR="0081136A">
        <w:t> </w:t>
      </w:r>
      <w:r w:rsidR="00AC1B1F">
        <w:t>2001</w:t>
      </w:r>
      <w:r w:rsidR="00425474">
        <w:t xml:space="preserve"> </w:t>
      </w:r>
      <w:r w:rsidR="00AC1B1F">
        <w:t xml:space="preserve">in </w:t>
      </w:r>
      <w:r w:rsidR="00AC1B1F" w:rsidRPr="00C76AFF">
        <w:rPr>
          <w:i/>
        </w:rPr>
        <w:t>Lietuvos Aidas</w:t>
      </w:r>
      <w:r w:rsidR="00AC1B1F">
        <w:t xml:space="preserve"> </w:t>
      </w:r>
      <w:r w:rsidR="00C76AFF">
        <w:t xml:space="preserve">had </w:t>
      </w:r>
      <w:r w:rsidR="00425474">
        <w:t>not contain</w:t>
      </w:r>
      <w:r w:rsidR="00C76AFF">
        <w:t>ed</w:t>
      </w:r>
      <w:r w:rsidR="00425474">
        <w:t xml:space="preserve"> </w:t>
      </w:r>
      <w:r w:rsidR="004B5C05">
        <w:t>her</w:t>
      </w:r>
      <w:r w:rsidR="00425474">
        <w:t xml:space="preserve"> name, although</w:t>
      </w:r>
      <w:r w:rsidR="00AD2DB3">
        <w:t>,</w:t>
      </w:r>
      <w:r w:rsidR="00425474">
        <w:t xml:space="preserve"> </w:t>
      </w:r>
      <w:r w:rsidR="00AD2DB3">
        <w:t xml:space="preserve">by publishing an apology </w:t>
      </w:r>
      <w:r w:rsidR="00C76AFF">
        <w:t xml:space="preserve">on </w:t>
      </w:r>
      <w:r w:rsidR="00AD2DB3">
        <w:t>18</w:t>
      </w:r>
      <w:r w:rsidR="00C76AFF">
        <w:t> </w:t>
      </w:r>
      <w:r w:rsidR="00AD2DB3">
        <w:t>April</w:t>
      </w:r>
      <w:r w:rsidR="0081136A">
        <w:t> </w:t>
      </w:r>
      <w:r w:rsidR="00AD2DB3">
        <w:t>200</w:t>
      </w:r>
      <w:r w:rsidR="00AC1B1F">
        <w:t>1</w:t>
      </w:r>
      <w:r w:rsidR="00AD2DB3">
        <w:t xml:space="preserve">, </w:t>
      </w:r>
      <w:r w:rsidR="00425474">
        <w:t xml:space="preserve">the </w:t>
      </w:r>
      <w:r w:rsidR="00C76AFF">
        <w:t xml:space="preserve">newspaper </w:t>
      </w:r>
      <w:r w:rsidR="00425474">
        <w:t xml:space="preserve">itself had recognised that the information </w:t>
      </w:r>
      <w:r w:rsidR="00C76AFF">
        <w:t xml:space="preserve">disclosed </w:t>
      </w:r>
      <w:r w:rsidR="00425474">
        <w:t xml:space="preserve">related to the applicant. </w:t>
      </w:r>
      <w:r w:rsidR="00C76AFF">
        <w:t xml:space="preserve">In </w:t>
      </w:r>
      <w:r w:rsidR="00425474">
        <w:t>the applicant</w:t>
      </w:r>
      <w:r w:rsidR="00CE66E6">
        <w:t>’</w:t>
      </w:r>
      <w:r w:rsidR="00C76AFF">
        <w:t>s opinion</w:t>
      </w:r>
      <w:r w:rsidR="00425474">
        <w:t xml:space="preserve">, the courts </w:t>
      </w:r>
      <w:r w:rsidR="00C76AFF">
        <w:t xml:space="preserve">had </w:t>
      </w:r>
      <w:r w:rsidR="00425474">
        <w:t xml:space="preserve">also failed to </w:t>
      </w:r>
      <w:r w:rsidR="00250082">
        <w:t>take into account the fact that a State institution had provided her private data to the media.</w:t>
      </w:r>
    </w:p>
    <w:p w:rsidR="00635682" w:rsidRDefault="00C40812" w:rsidP="0039636F">
      <w:pPr>
        <w:pStyle w:val="JuPara"/>
      </w:pPr>
      <w:r>
        <w:fldChar w:fldCharType="begin"/>
      </w:r>
      <w:r w:rsidR="00635682">
        <w:instrText xml:space="preserve"> SEQ level0 \*arabic </w:instrText>
      </w:r>
      <w:r>
        <w:fldChar w:fldCharType="separate"/>
      </w:r>
      <w:r w:rsidR="006E0C02">
        <w:rPr>
          <w:noProof/>
        </w:rPr>
        <w:t>51</w:t>
      </w:r>
      <w:r>
        <w:fldChar w:fldCharType="end"/>
      </w:r>
      <w:r w:rsidR="00635682">
        <w:t xml:space="preserve">.  The applicant contended that after the Supreme Court had endorsed the conclusions of the lower courts recognising that it had been impossible to identify from the content of the article the person </w:t>
      </w:r>
      <w:r w:rsidR="00C76AFF">
        <w:t xml:space="preserve">to </w:t>
      </w:r>
      <w:r w:rsidR="00635682">
        <w:t xml:space="preserve">whom the information </w:t>
      </w:r>
      <w:r w:rsidR="00C76AFF">
        <w:t>related</w:t>
      </w:r>
      <w:r w:rsidR="00635682">
        <w:t xml:space="preserve">, it </w:t>
      </w:r>
      <w:r w:rsidR="00C76AFF">
        <w:t xml:space="preserve">had </w:t>
      </w:r>
      <w:r w:rsidR="00635682">
        <w:t xml:space="preserve">adopted a separate ruling in </w:t>
      </w:r>
      <w:r w:rsidR="00C76AFF">
        <w:t>which it</w:t>
      </w:r>
      <w:r w:rsidR="0039636F">
        <w:t xml:space="preserve"> had</w:t>
      </w:r>
      <w:r w:rsidR="00C76AFF">
        <w:t xml:space="preserve"> </w:t>
      </w:r>
      <w:r w:rsidR="00635682">
        <w:t>contradict</w:t>
      </w:r>
      <w:r w:rsidR="00C76AFF">
        <w:t>ed</w:t>
      </w:r>
      <w:r w:rsidR="00635682">
        <w:t xml:space="preserve"> itself. </w:t>
      </w:r>
      <w:r w:rsidR="00C76AFF">
        <w:t>T</w:t>
      </w:r>
      <w:r w:rsidR="00635682">
        <w:t>he applicant</w:t>
      </w:r>
      <w:r w:rsidR="00C76AFF">
        <w:t xml:space="preserve"> submitted that</w:t>
      </w:r>
      <w:r w:rsidR="00635682">
        <w:t xml:space="preserve"> by adopting a separate ruling the Supreme Court </w:t>
      </w:r>
      <w:r w:rsidR="00C76AFF">
        <w:t xml:space="preserve">had </w:t>
      </w:r>
      <w:r w:rsidR="00635682">
        <w:t>recognised that her and her son</w:t>
      </w:r>
      <w:r w:rsidR="00CE66E6">
        <w:t>’</w:t>
      </w:r>
      <w:r w:rsidR="00635682">
        <w:t xml:space="preserve">s rights </w:t>
      </w:r>
      <w:r w:rsidR="00C76AFF">
        <w:t xml:space="preserve">had been </w:t>
      </w:r>
      <w:r w:rsidR="00635682">
        <w:t xml:space="preserve">violated. </w:t>
      </w:r>
      <w:r w:rsidR="00A80B6B">
        <w:t>Otherwise</w:t>
      </w:r>
      <w:r w:rsidR="00635682">
        <w:t>, such a ruling would have</w:t>
      </w:r>
      <w:r w:rsidR="0039636F">
        <w:t xml:space="preserve"> had</w:t>
      </w:r>
      <w:r w:rsidR="00635682">
        <w:t xml:space="preserve"> no grounds and would </w:t>
      </w:r>
      <w:r w:rsidR="0039636F">
        <w:t xml:space="preserve">have been </w:t>
      </w:r>
      <w:r w:rsidR="00635682">
        <w:t>meaningless.</w:t>
      </w:r>
    </w:p>
    <w:p w:rsidR="00846218" w:rsidRDefault="00C40812" w:rsidP="0039636F">
      <w:pPr>
        <w:pStyle w:val="JuPara"/>
      </w:pPr>
      <w:r>
        <w:fldChar w:fldCharType="begin"/>
      </w:r>
      <w:r w:rsidR="00425474">
        <w:instrText xml:space="preserve"> SEQ level0 \*arabic </w:instrText>
      </w:r>
      <w:r>
        <w:fldChar w:fldCharType="separate"/>
      </w:r>
      <w:r w:rsidR="006E0C02">
        <w:rPr>
          <w:noProof/>
        </w:rPr>
        <w:t>52</w:t>
      </w:r>
      <w:r>
        <w:fldChar w:fldCharType="end"/>
      </w:r>
      <w:r w:rsidR="00425474">
        <w:t>.  </w:t>
      </w:r>
      <w:r w:rsidR="004F4113">
        <w:t>On 22 October</w:t>
      </w:r>
      <w:r w:rsidR="0081136A">
        <w:t> </w:t>
      </w:r>
      <w:r w:rsidR="004F4113">
        <w:t>2007</w:t>
      </w:r>
      <w:r w:rsidR="0039636F">
        <w:t>,</w:t>
      </w:r>
      <w:r w:rsidR="004F4113">
        <w:t xml:space="preserve"> and i</w:t>
      </w:r>
      <w:r w:rsidR="00846218">
        <w:t xml:space="preserve">n </w:t>
      </w:r>
      <w:r w:rsidR="004B5C05">
        <w:t xml:space="preserve">her </w:t>
      </w:r>
      <w:r w:rsidR="00846218">
        <w:t>reply to the Government</w:t>
      </w:r>
      <w:r w:rsidR="00CE66E6">
        <w:t>’</w:t>
      </w:r>
      <w:r w:rsidR="00846218">
        <w:t xml:space="preserve">s observations on the admissibility and merits, the applicant </w:t>
      </w:r>
      <w:r w:rsidR="00250082">
        <w:t xml:space="preserve">also argued that the domestic courts </w:t>
      </w:r>
      <w:r w:rsidR="0086625A">
        <w:t xml:space="preserve">had </w:t>
      </w:r>
      <w:r w:rsidR="00250082">
        <w:t>not</w:t>
      </w:r>
      <w:r w:rsidR="0086625A">
        <w:t xml:space="preserve"> been</w:t>
      </w:r>
      <w:r w:rsidR="00250082">
        <w:t xml:space="preserve"> active enough when hearing the case </w:t>
      </w:r>
      <w:r w:rsidR="0086625A">
        <w:t xml:space="preserve">concerning the </w:t>
      </w:r>
      <w:r w:rsidR="00250082">
        <w:t xml:space="preserve">alleged breach of her right to privacy. She </w:t>
      </w:r>
      <w:r w:rsidR="00846218">
        <w:t xml:space="preserve">criticised the Vilnius </w:t>
      </w:r>
      <w:r w:rsidR="0090436C">
        <w:t>Second</w:t>
      </w:r>
      <w:r w:rsidR="00846218">
        <w:t xml:space="preserve"> District Court for </w:t>
      </w:r>
      <w:r w:rsidR="0086625A">
        <w:t xml:space="preserve">rejecting </w:t>
      </w:r>
      <w:r w:rsidR="00635682">
        <w:t>her request of 7</w:t>
      </w:r>
      <w:r w:rsidR="0081136A">
        <w:t> </w:t>
      </w:r>
      <w:r w:rsidR="00635682">
        <w:t>May</w:t>
      </w:r>
      <w:r w:rsidR="0081136A">
        <w:t> </w:t>
      </w:r>
      <w:r w:rsidR="00635682">
        <w:t xml:space="preserve">2002 </w:t>
      </w:r>
      <w:r w:rsidR="0086625A">
        <w:t>for</w:t>
      </w:r>
      <w:r w:rsidR="00846218">
        <w:t xml:space="preserve"> three witnesses</w:t>
      </w:r>
      <w:r w:rsidR="0086625A">
        <w:t xml:space="preserve"> to be called</w:t>
      </w:r>
      <w:r w:rsidR="00846218">
        <w:t xml:space="preserve"> so that the applicant could prove that she and her son were identifiable </w:t>
      </w:r>
      <w:r w:rsidR="0039636F">
        <w:t>from the article</w:t>
      </w:r>
      <w:r w:rsidR="00635682">
        <w:t xml:space="preserve"> at issue</w:t>
      </w:r>
      <w:r w:rsidR="002B3FD0">
        <w:t>.</w:t>
      </w:r>
    </w:p>
    <w:p w:rsidR="00BA6B8F" w:rsidRPr="007B02F5" w:rsidRDefault="00BA6B8F" w:rsidP="0039636F">
      <w:pPr>
        <w:pStyle w:val="JuHa0"/>
      </w:pPr>
      <w:r>
        <w:t>(b)</w:t>
      </w:r>
      <w:r w:rsidRPr="007B02F5">
        <w:t>  </w:t>
      </w:r>
      <w:r>
        <w:t>The Government</w:t>
      </w:r>
    </w:p>
    <w:p w:rsidR="00404F2A" w:rsidRDefault="00C40812" w:rsidP="0039636F">
      <w:pPr>
        <w:pStyle w:val="JuPara"/>
      </w:pPr>
      <w:r>
        <w:fldChar w:fldCharType="begin"/>
      </w:r>
      <w:r w:rsidR="00846218">
        <w:instrText xml:space="preserve"> SEQ level0 \*arabic </w:instrText>
      </w:r>
      <w:r>
        <w:fldChar w:fldCharType="separate"/>
      </w:r>
      <w:r w:rsidR="006E0C02">
        <w:rPr>
          <w:noProof/>
        </w:rPr>
        <w:t>53</w:t>
      </w:r>
      <w:r>
        <w:fldChar w:fldCharType="end"/>
      </w:r>
      <w:r w:rsidR="00846218">
        <w:t>.  </w:t>
      </w:r>
      <w:r w:rsidR="00E91693" w:rsidRPr="005B2522">
        <w:t>The Government cont</w:t>
      </w:r>
      <w:r w:rsidR="00E91693">
        <w:t xml:space="preserve">ested </w:t>
      </w:r>
      <w:r w:rsidR="00250082">
        <w:t>the applicant</w:t>
      </w:r>
      <w:r w:rsidR="00CE66E6">
        <w:t>’</w:t>
      </w:r>
      <w:r w:rsidR="00250082">
        <w:t>s</w:t>
      </w:r>
      <w:r w:rsidR="00E91693">
        <w:t xml:space="preserve"> argument</w:t>
      </w:r>
      <w:r w:rsidR="00250082">
        <w:t>s</w:t>
      </w:r>
      <w:r w:rsidR="00E91693">
        <w:t xml:space="preserve">. They </w:t>
      </w:r>
      <w:r w:rsidR="004057C4">
        <w:t xml:space="preserve">submitted that the applicant </w:t>
      </w:r>
      <w:r w:rsidR="0086625A">
        <w:t xml:space="preserve">had been </w:t>
      </w:r>
      <w:r w:rsidR="004057C4">
        <w:t xml:space="preserve">afforded an effective remedy </w:t>
      </w:r>
      <w:r w:rsidR="0086625A">
        <w:t>for the</w:t>
      </w:r>
      <w:r w:rsidR="004057C4">
        <w:t xml:space="preserve"> protect</w:t>
      </w:r>
      <w:r w:rsidR="0086625A">
        <w:t>ion of</w:t>
      </w:r>
      <w:r w:rsidR="004057C4">
        <w:t xml:space="preserve"> her privacy. The applicant</w:t>
      </w:r>
      <w:r w:rsidR="00CE66E6">
        <w:t>’</w:t>
      </w:r>
      <w:r w:rsidR="004057C4">
        <w:t xml:space="preserve">s </w:t>
      </w:r>
      <w:r w:rsidR="006803B9">
        <w:t xml:space="preserve">complaint </w:t>
      </w:r>
      <w:r w:rsidR="004057C4">
        <w:t xml:space="preserve">had been examined in </w:t>
      </w:r>
      <w:r w:rsidR="0086625A">
        <w:t xml:space="preserve">the </w:t>
      </w:r>
      <w:r w:rsidR="004057C4">
        <w:t xml:space="preserve">domestic courts and </w:t>
      </w:r>
      <w:r w:rsidR="0086625A">
        <w:t xml:space="preserve">the </w:t>
      </w:r>
      <w:r w:rsidR="00E91693">
        <w:t xml:space="preserve">negative outcome of the litigation did not </w:t>
      </w:r>
      <w:r w:rsidR="0086625A">
        <w:t xml:space="preserve">imply the </w:t>
      </w:r>
      <w:r w:rsidR="00E91693">
        <w:t xml:space="preserve">absence of </w:t>
      </w:r>
      <w:r w:rsidR="0086625A">
        <w:t xml:space="preserve">an </w:t>
      </w:r>
      <w:r w:rsidR="00E91693">
        <w:t>effective remedy.</w:t>
      </w:r>
    </w:p>
    <w:p w:rsidR="00C11928" w:rsidRDefault="00C40812" w:rsidP="0039636F">
      <w:pPr>
        <w:pStyle w:val="JuPara"/>
      </w:pPr>
      <w:r>
        <w:fldChar w:fldCharType="begin"/>
      </w:r>
      <w:r w:rsidR="00C11928">
        <w:instrText xml:space="preserve"> SEQ level0 \*arabic </w:instrText>
      </w:r>
      <w:r>
        <w:fldChar w:fldCharType="separate"/>
      </w:r>
      <w:r w:rsidR="006E0C02">
        <w:rPr>
          <w:noProof/>
        </w:rPr>
        <w:t>54</w:t>
      </w:r>
      <w:r>
        <w:fldChar w:fldCharType="end"/>
      </w:r>
      <w:r w:rsidR="00C11928">
        <w:t xml:space="preserve">.  As to the </w:t>
      </w:r>
      <w:r w:rsidR="0086625A">
        <w:t>s</w:t>
      </w:r>
      <w:r w:rsidR="00C11928">
        <w:t xml:space="preserve">eparate ruling the Supreme Court </w:t>
      </w:r>
      <w:r w:rsidR="0086625A">
        <w:t xml:space="preserve">made </w:t>
      </w:r>
      <w:r w:rsidR="00C11928">
        <w:t>on 29</w:t>
      </w:r>
      <w:r w:rsidR="0081136A">
        <w:t> </w:t>
      </w:r>
      <w:r w:rsidR="00C11928">
        <w:t>November</w:t>
      </w:r>
      <w:r w:rsidR="0081136A">
        <w:t> </w:t>
      </w:r>
      <w:r w:rsidR="00C11928">
        <w:t xml:space="preserve">2004, the Government submitted that </w:t>
      </w:r>
      <w:r w:rsidR="0086625A">
        <w:t xml:space="preserve">such a ruling </w:t>
      </w:r>
      <w:r w:rsidR="00C11928">
        <w:t xml:space="preserve">was only a procedural means of reaction to infringements and substantial deficiencies </w:t>
      </w:r>
      <w:r w:rsidR="0086625A">
        <w:t xml:space="preserve">in </w:t>
      </w:r>
      <w:r w:rsidR="00C11928">
        <w:t xml:space="preserve">the functioning of the State institutions and was not necessarily directly connected with the substance of </w:t>
      </w:r>
      <w:r w:rsidR="0086625A">
        <w:t xml:space="preserve">a </w:t>
      </w:r>
      <w:r w:rsidR="00C11928">
        <w:t>case. The Supreme Court</w:t>
      </w:r>
      <w:r w:rsidR="00CE66E6">
        <w:t>’</w:t>
      </w:r>
      <w:r w:rsidR="00C11928">
        <w:t>s initiative and acti</w:t>
      </w:r>
      <w:r w:rsidR="006803B9">
        <w:t>ons</w:t>
      </w:r>
      <w:r w:rsidR="00C11928">
        <w:t xml:space="preserve"> in drawing attention to the infringements </w:t>
      </w:r>
      <w:r w:rsidR="0039636F">
        <w:t>in question</w:t>
      </w:r>
      <w:r w:rsidR="00C11928">
        <w:t xml:space="preserve"> </w:t>
      </w:r>
      <w:r w:rsidR="006803B9">
        <w:t xml:space="preserve">had been </w:t>
      </w:r>
      <w:r w:rsidR="00C11928">
        <w:t xml:space="preserve">connected only with the protection of the public interest, </w:t>
      </w:r>
      <w:r w:rsidR="0086625A">
        <w:t xml:space="preserve">that is, </w:t>
      </w:r>
      <w:r w:rsidR="00C11928">
        <w:t xml:space="preserve">in the present case the protection of </w:t>
      </w:r>
      <w:r w:rsidR="0086625A">
        <w:t xml:space="preserve">the </w:t>
      </w:r>
      <w:r w:rsidR="00C11928">
        <w:t>child</w:t>
      </w:r>
      <w:r w:rsidR="00CE66E6">
        <w:t>’</w:t>
      </w:r>
      <w:r w:rsidR="00C11928">
        <w:t xml:space="preserve">s interests. </w:t>
      </w:r>
      <w:r w:rsidR="006803B9">
        <w:t>Thus</w:t>
      </w:r>
      <w:r w:rsidR="00C11928">
        <w:t xml:space="preserve">, </w:t>
      </w:r>
      <w:r w:rsidR="0086625A">
        <w:t xml:space="preserve">according to </w:t>
      </w:r>
      <w:r w:rsidR="00C11928">
        <w:t xml:space="preserve">the Government, the </w:t>
      </w:r>
      <w:r w:rsidR="0039636F">
        <w:t>s</w:t>
      </w:r>
      <w:r w:rsidR="00C11928">
        <w:t>eparate ruling was more of a general</w:t>
      </w:r>
      <w:r w:rsidR="00E405B5">
        <w:t xml:space="preserve"> than a personal</w:t>
      </w:r>
      <w:r w:rsidR="00C11928">
        <w:t xml:space="preserve"> nature, given that </w:t>
      </w:r>
      <w:r w:rsidR="0039636F">
        <w:t>it</w:t>
      </w:r>
      <w:r w:rsidR="00C11928">
        <w:t xml:space="preserve"> </w:t>
      </w:r>
      <w:r w:rsidR="00E405B5">
        <w:t xml:space="preserve">made </w:t>
      </w:r>
      <w:r w:rsidR="00C11928">
        <w:t xml:space="preserve">no reference to the applicant or her son. Accordingly, in the instant case the two rulings of the Supreme Court, although adopted on the same day, had to be </w:t>
      </w:r>
      <w:r w:rsidR="00E405B5">
        <w:t>considered as separate</w:t>
      </w:r>
      <w:r w:rsidR="00C11928">
        <w:t>.</w:t>
      </w:r>
    </w:p>
    <w:p w:rsidR="0072302D" w:rsidRDefault="00C40812" w:rsidP="0039636F">
      <w:pPr>
        <w:pStyle w:val="JuPara"/>
      </w:pPr>
      <w:r>
        <w:fldChar w:fldCharType="begin"/>
      </w:r>
      <w:r w:rsidR="0072302D">
        <w:instrText xml:space="preserve"> SEQ level0 \*arabic </w:instrText>
      </w:r>
      <w:r>
        <w:fldChar w:fldCharType="separate"/>
      </w:r>
      <w:r w:rsidR="006E0C02">
        <w:rPr>
          <w:noProof/>
        </w:rPr>
        <w:t>55</w:t>
      </w:r>
      <w:r>
        <w:fldChar w:fldCharType="end"/>
      </w:r>
      <w:r w:rsidR="0072302D">
        <w:t xml:space="preserve">.  Lastly, the Government observed that the applicant had not raised her complaint about </w:t>
      </w:r>
      <w:r w:rsidR="00140457">
        <w:t xml:space="preserve">the </w:t>
      </w:r>
      <w:r w:rsidR="0072302D">
        <w:t>inability to have witnesses summoned in her application form.</w:t>
      </w:r>
    </w:p>
    <w:p w:rsidR="0072302D" w:rsidRPr="006874B9" w:rsidRDefault="0072302D" w:rsidP="0039636F">
      <w:pPr>
        <w:pStyle w:val="JuH1"/>
      </w:pPr>
      <w:r>
        <w:t>2.  The Court</w:t>
      </w:r>
      <w:r w:rsidR="00CE66E6">
        <w:t>’</w:t>
      </w:r>
      <w:r>
        <w:t>s assessment</w:t>
      </w:r>
    </w:p>
    <w:p w:rsidR="00CE0F84" w:rsidRPr="00CE0F84" w:rsidRDefault="00C40812" w:rsidP="0039636F">
      <w:pPr>
        <w:pStyle w:val="JuPara"/>
        <w:rPr>
          <w:i/>
          <w:szCs w:val="24"/>
          <w:lang w:eastAsia="en-US"/>
        </w:rPr>
      </w:pPr>
      <w:r>
        <w:fldChar w:fldCharType="begin"/>
      </w:r>
      <w:r w:rsidR="006D0A90">
        <w:instrText xml:space="preserve"> SEQ level0 \*arabic </w:instrText>
      </w:r>
      <w:r>
        <w:fldChar w:fldCharType="separate"/>
      </w:r>
      <w:r w:rsidR="006E0C02">
        <w:rPr>
          <w:noProof/>
        </w:rPr>
        <w:t>56</w:t>
      </w:r>
      <w:r>
        <w:fldChar w:fldCharType="end"/>
      </w:r>
      <w:r w:rsidR="006D0A90">
        <w:t>.  </w:t>
      </w:r>
      <w:r w:rsidR="004D5A87">
        <w:t xml:space="preserve">The Court </w:t>
      </w:r>
      <w:r w:rsidR="00140457">
        <w:t xml:space="preserve">reiterates </w:t>
      </w:r>
      <w:r w:rsidR="004D5A87">
        <w:t xml:space="preserve">that </w:t>
      </w:r>
      <w:r w:rsidR="00CE0F84" w:rsidRPr="0042494F">
        <w:t>Article</w:t>
      </w:r>
      <w:r w:rsidR="0081136A">
        <w:t> </w:t>
      </w:r>
      <w:r w:rsidR="00CE0F84" w:rsidRPr="0042494F">
        <w:t>13 of the Convention guarantees the availability at national level of a remedy to enforce the substance of the Convention rights and freedoms in whatever form they may happen to be secured in the domestic legal order. The effect of Article</w:t>
      </w:r>
      <w:r w:rsidR="0081136A">
        <w:t> </w:t>
      </w:r>
      <w:r w:rsidR="00CE0F84" w:rsidRPr="0042494F">
        <w:t>13 is thus to require the provision of a domestic remedy to deal with the substance of an “arguable complaint” under the Convention and to grant appropriate relief. The effectiveness of a remedy within the meaning of Article</w:t>
      </w:r>
      <w:r w:rsidR="0081136A">
        <w:t> </w:t>
      </w:r>
      <w:r w:rsidR="00CE0F84" w:rsidRPr="0042494F">
        <w:t>13 does not depend on the certainty of a favourable outcome for the applicant. Also, even if a single remedy does not by itself entirely satisfy the requirements of Article</w:t>
      </w:r>
      <w:r w:rsidR="0081136A">
        <w:t> </w:t>
      </w:r>
      <w:r w:rsidR="00CE0F84" w:rsidRPr="0042494F">
        <w:t xml:space="preserve">13, the aggregate of remedies provided for under domestic law may do so. It is therefore necessary to determine in each case whether the means available to litigants in domestic law are “effective” in the sense either of preventing the alleged violation or its continuation, or of providing adequate redress for any violation that has already occurred (see </w:t>
      </w:r>
      <w:r w:rsidR="00CE0F84" w:rsidRPr="00CE0F84">
        <w:rPr>
          <w:i/>
          <w:szCs w:val="24"/>
          <w:lang w:eastAsia="en-US"/>
        </w:rPr>
        <w:t>Sürmeli v.</w:t>
      </w:r>
      <w:r w:rsidR="0081136A">
        <w:rPr>
          <w:i/>
          <w:szCs w:val="24"/>
          <w:lang w:eastAsia="en-US"/>
        </w:rPr>
        <w:t> </w:t>
      </w:r>
      <w:smartTag w:uri="urn:schemas-microsoft-com:office:smarttags" w:element="place">
        <w:smartTag w:uri="urn:schemas-microsoft-com:office:smarttags" w:element="country-region">
          <w:r w:rsidR="00CE0F84" w:rsidRPr="00CE0F84">
            <w:rPr>
              <w:i/>
              <w:szCs w:val="24"/>
              <w:lang w:eastAsia="en-US"/>
            </w:rPr>
            <w:t>Germany</w:t>
          </w:r>
        </w:smartTag>
      </w:smartTag>
      <w:r w:rsidR="00CE0F84" w:rsidRPr="00CE0F84">
        <w:rPr>
          <w:i/>
          <w:szCs w:val="24"/>
          <w:lang w:eastAsia="en-US"/>
        </w:rPr>
        <w:t xml:space="preserve"> </w:t>
      </w:r>
      <w:r w:rsidR="00CE0F84" w:rsidRPr="00CE0F84">
        <w:rPr>
          <w:szCs w:val="24"/>
          <w:lang w:eastAsia="en-US"/>
        </w:rPr>
        <w:t>[GC], no.</w:t>
      </w:r>
      <w:r w:rsidR="0081136A">
        <w:rPr>
          <w:szCs w:val="24"/>
          <w:lang w:eastAsia="en-US"/>
        </w:rPr>
        <w:t> </w:t>
      </w:r>
      <w:r w:rsidR="00CE0F84" w:rsidRPr="00CE0F84">
        <w:rPr>
          <w:szCs w:val="24"/>
          <w:lang w:eastAsia="en-US"/>
        </w:rPr>
        <w:t>75529/01, §</w:t>
      </w:r>
      <w:r w:rsidR="0081136A">
        <w:rPr>
          <w:szCs w:val="24"/>
          <w:lang w:eastAsia="en-US"/>
        </w:rPr>
        <w:t> </w:t>
      </w:r>
      <w:r w:rsidR="00CE0F84">
        <w:rPr>
          <w:szCs w:val="24"/>
          <w:lang w:eastAsia="en-US"/>
        </w:rPr>
        <w:t>98</w:t>
      </w:r>
      <w:r w:rsidR="00CE0F84" w:rsidRPr="00CE0F84">
        <w:rPr>
          <w:szCs w:val="24"/>
          <w:lang w:eastAsia="en-US"/>
        </w:rPr>
        <w:t xml:space="preserve">, </w:t>
      </w:r>
      <w:r w:rsidR="00CE0F84" w:rsidRPr="00CE0F84">
        <w:rPr>
          <w:lang w:eastAsia="en-US"/>
        </w:rPr>
        <w:t>ECHR 2006</w:t>
      </w:r>
      <w:r w:rsidR="00CE0F84" w:rsidRPr="00CE0F84">
        <w:rPr>
          <w:lang w:eastAsia="en-US"/>
        </w:rPr>
        <w:noBreakHyphen/>
        <w:t>VII</w:t>
      </w:r>
      <w:r w:rsidR="00CE0F84" w:rsidRPr="0042494F">
        <w:t>).</w:t>
      </w:r>
    </w:p>
    <w:p w:rsidR="006D0A90" w:rsidRDefault="00C40812" w:rsidP="0039636F">
      <w:pPr>
        <w:pStyle w:val="JuPara"/>
      </w:pPr>
      <w:r>
        <w:fldChar w:fldCharType="begin"/>
      </w:r>
      <w:r w:rsidR="00CE0F84">
        <w:instrText xml:space="preserve"> SEQ level0 \*arabic </w:instrText>
      </w:r>
      <w:r>
        <w:fldChar w:fldCharType="separate"/>
      </w:r>
      <w:r w:rsidR="006E0C02">
        <w:rPr>
          <w:noProof/>
        </w:rPr>
        <w:t>57</w:t>
      </w:r>
      <w:r>
        <w:fldChar w:fldCharType="end"/>
      </w:r>
      <w:r w:rsidR="00CE0F84">
        <w:t>.  </w:t>
      </w:r>
      <w:r w:rsidR="006D0A90">
        <w:t>The applicant essentially submits that the Government are under a positive obligation to provide effective protection for the rights guaranteed by the Convention. Given the terms of Article</w:t>
      </w:r>
      <w:r w:rsidR="0081136A">
        <w:t> </w:t>
      </w:r>
      <w:r w:rsidR="006D0A90">
        <w:t xml:space="preserve">10 of the Convention, the absence of an effective domestic remedy as regards invasions of privacy by the press constitutes a failure to effectively respect </w:t>
      </w:r>
      <w:r w:rsidR="0039636F">
        <w:t xml:space="preserve">her </w:t>
      </w:r>
      <w:r w:rsidR="006D0A90">
        <w:t xml:space="preserve">right to respect for </w:t>
      </w:r>
      <w:r w:rsidR="0039636F">
        <w:t xml:space="preserve">her </w:t>
      </w:r>
      <w:r w:rsidR="006D0A90">
        <w:t xml:space="preserve">private </w:t>
      </w:r>
      <w:r w:rsidR="0039636F">
        <w:t xml:space="preserve">life </w:t>
      </w:r>
      <w:r w:rsidR="006D0A90">
        <w:t>as guaranteed by Article</w:t>
      </w:r>
      <w:r w:rsidR="0081136A">
        <w:t> </w:t>
      </w:r>
      <w:r w:rsidR="006D0A90">
        <w:t xml:space="preserve">8 of the Convention (see </w:t>
      </w:r>
      <w:r w:rsidR="006D0A90">
        <w:rPr>
          <w:rStyle w:val="ju-005fpara--char"/>
          <w:i/>
          <w:iCs/>
        </w:rPr>
        <w:t xml:space="preserve">Earl and Countess Spencer </w:t>
      </w:r>
      <w:r w:rsidR="006D0A90">
        <w:rPr>
          <w:rStyle w:val="ju--005fpara----char--char"/>
          <w:i/>
          <w:iCs/>
        </w:rPr>
        <w:t>v.</w:t>
      </w:r>
      <w:r w:rsidR="0081136A">
        <w:rPr>
          <w:rStyle w:val="ju--005fpara----char--char"/>
          <w:i/>
          <w:iCs/>
        </w:rPr>
        <w:t> </w:t>
      </w:r>
      <w:r w:rsidR="006D0A90">
        <w:rPr>
          <w:rStyle w:val="ju--005fpara----char--char"/>
          <w:i/>
          <w:iCs/>
        </w:rPr>
        <w:t>the United Kingdom</w:t>
      </w:r>
      <w:r w:rsidR="006D0A90" w:rsidRPr="00E73EEA">
        <w:t>, nos. </w:t>
      </w:r>
      <w:r w:rsidR="006D0A90" w:rsidRPr="00E73EEA">
        <w:rPr>
          <w:bCs/>
        </w:rPr>
        <w:t>28851</w:t>
      </w:r>
      <w:r w:rsidR="006D0A90" w:rsidRPr="00E73EEA">
        <w:t>/</w:t>
      </w:r>
      <w:r w:rsidR="006D0A90" w:rsidRPr="00E73EEA">
        <w:rPr>
          <w:bCs/>
        </w:rPr>
        <w:t>95</w:t>
      </w:r>
      <w:r w:rsidR="006D0A90">
        <w:t xml:space="preserve"> and 28852/95, Commission decision of 16</w:t>
      </w:r>
      <w:r w:rsidR="0081136A">
        <w:t> </w:t>
      </w:r>
      <w:r w:rsidR="006D0A90">
        <w:t>January</w:t>
      </w:r>
      <w:r w:rsidR="0081136A">
        <w:t> </w:t>
      </w:r>
      <w:r w:rsidR="006D0A90">
        <w:t>1998, D</w:t>
      </w:r>
      <w:r w:rsidR="005933AE">
        <w:t xml:space="preserve">ecisions and </w:t>
      </w:r>
      <w:r w:rsidR="006D0A90">
        <w:t>R</w:t>
      </w:r>
      <w:r w:rsidR="005933AE">
        <w:t>eports</w:t>
      </w:r>
      <w:r w:rsidR="006D0A90">
        <w:t> 92-A, p.</w:t>
      </w:r>
      <w:r w:rsidR="005933AE">
        <w:t> </w:t>
      </w:r>
      <w:r w:rsidR="006D0A90">
        <w:t>56).</w:t>
      </w:r>
    </w:p>
    <w:p w:rsidR="00E30844" w:rsidRDefault="00C40812" w:rsidP="0039636F">
      <w:pPr>
        <w:pStyle w:val="JuPara"/>
      </w:pPr>
      <w:r>
        <w:fldChar w:fldCharType="begin"/>
      </w:r>
      <w:r w:rsidR="00CE0F84">
        <w:instrText xml:space="preserve"> SEQ level0 \*arabic </w:instrText>
      </w:r>
      <w:r>
        <w:fldChar w:fldCharType="separate"/>
      </w:r>
      <w:r w:rsidR="006E0C02">
        <w:rPr>
          <w:noProof/>
        </w:rPr>
        <w:t>58</w:t>
      </w:r>
      <w:r>
        <w:fldChar w:fldCharType="end"/>
      </w:r>
      <w:r w:rsidR="00CE0F84">
        <w:t>.  </w:t>
      </w:r>
      <w:r w:rsidR="00E30844">
        <w:t>Turning to the circumstances of the instant case</w:t>
      </w:r>
      <w:r w:rsidR="00805528">
        <w:t>,</w:t>
      </w:r>
      <w:r w:rsidR="00E30844">
        <w:t xml:space="preserve"> the Court observes that </w:t>
      </w:r>
      <w:r w:rsidR="00805528">
        <w:t xml:space="preserve">a </w:t>
      </w:r>
      <w:r w:rsidR="00941525">
        <w:t xml:space="preserve">legal framework for </w:t>
      </w:r>
      <w:r w:rsidR="00805528">
        <w:t xml:space="preserve">the </w:t>
      </w:r>
      <w:r w:rsidR="00941525">
        <w:t xml:space="preserve">protection of privacy did exist at the time </w:t>
      </w:r>
      <w:r w:rsidR="00805528">
        <w:t xml:space="preserve">of </w:t>
      </w:r>
      <w:r w:rsidR="00941525">
        <w:t>the applicant</w:t>
      </w:r>
      <w:r w:rsidR="00CE66E6">
        <w:t>’</w:t>
      </w:r>
      <w:r w:rsidR="00941525">
        <w:t>s case (see paragraphs</w:t>
      </w:r>
      <w:r w:rsidR="00386922">
        <w:t> </w:t>
      </w:r>
      <w:r w:rsidR="00941525">
        <w:t>2</w:t>
      </w:r>
      <w:r w:rsidR="00A2484B">
        <w:t>6</w:t>
      </w:r>
      <w:r w:rsidR="00941525">
        <w:t>-3</w:t>
      </w:r>
      <w:r w:rsidR="00A2484B">
        <w:t>2</w:t>
      </w:r>
      <w:r w:rsidR="00941525">
        <w:t xml:space="preserve"> above). The Court also finds that the applicant had the benefit of court proceedings at three </w:t>
      </w:r>
      <w:r w:rsidR="00805528">
        <w:t xml:space="preserve">levels </w:t>
      </w:r>
      <w:r w:rsidR="00941525">
        <w:t>of jurisdiction</w:t>
      </w:r>
      <w:r w:rsidR="00DC0FC4">
        <w:t xml:space="preserve">. The mere fact that her claims </w:t>
      </w:r>
      <w:r w:rsidR="00805528">
        <w:t>were</w:t>
      </w:r>
      <w:r w:rsidR="00DC0FC4">
        <w:t xml:space="preserve"> dismissed for lack of proof does not, as such, render this remedy ineffective.</w:t>
      </w:r>
    </w:p>
    <w:p w:rsidR="0033777E" w:rsidRDefault="00C40812" w:rsidP="0039636F">
      <w:pPr>
        <w:pStyle w:val="JuPara"/>
      </w:pPr>
      <w:r>
        <w:fldChar w:fldCharType="begin"/>
      </w:r>
      <w:r w:rsidR="0033777E">
        <w:instrText xml:space="preserve"> SEQ level0 \*arabic </w:instrText>
      </w:r>
      <w:r>
        <w:fldChar w:fldCharType="separate"/>
      </w:r>
      <w:r w:rsidR="006E0C02">
        <w:rPr>
          <w:noProof/>
        </w:rPr>
        <w:t>59</w:t>
      </w:r>
      <w:r>
        <w:fldChar w:fldCharType="end"/>
      </w:r>
      <w:r w:rsidR="0033777E">
        <w:t>.  </w:t>
      </w:r>
      <w:r w:rsidR="00506A98">
        <w:t xml:space="preserve">As to the separate ruling the Supreme Court adopted the same day </w:t>
      </w:r>
      <w:r w:rsidR="00805528">
        <w:t xml:space="preserve">as </w:t>
      </w:r>
      <w:r w:rsidR="00506A98">
        <w:t>it dismissed the applicant</w:t>
      </w:r>
      <w:r w:rsidR="00CE66E6">
        <w:t>’</w:t>
      </w:r>
      <w:r w:rsidR="00506A98">
        <w:t xml:space="preserve">s case on the merits, the Court </w:t>
      </w:r>
      <w:r w:rsidR="002251B4">
        <w:t xml:space="preserve">finds that in that ruling the Supreme Court addressed </w:t>
      </w:r>
      <w:r w:rsidR="00805528">
        <w:t xml:space="preserve">the </w:t>
      </w:r>
      <w:r w:rsidR="002251B4">
        <w:t xml:space="preserve">general issue </w:t>
      </w:r>
      <w:r w:rsidR="0039636F">
        <w:t xml:space="preserve">of the need for </w:t>
      </w:r>
      <w:r w:rsidR="00805528">
        <w:t xml:space="preserve">the </w:t>
      </w:r>
      <w:r w:rsidR="002251B4">
        <w:t xml:space="preserve">secrecy of medical records </w:t>
      </w:r>
      <w:r w:rsidR="0039636F">
        <w:t xml:space="preserve">to </w:t>
      </w:r>
      <w:r w:rsidR="002251B4">
        <w:t xml:space="preserve">be </w:t>
      </w:r>
      <w:r w:rsidR="00805528">
        <w:t xml:space="preserve">respected </w:t>
      </w:r>
      <w:r w:rsidR="002251B4">
        <w:t>by the CWS. As explained by the Government, the cassation</w:t>
      </w:r>
      <w:r w:rsidR="00805528">
        <w:t xml:space="preserve"> court</w:t>
      </w:r>
      <w:r w:rsidR="002251B4">
        <w:t xml:space="preserve"> took such </w:t>
      </w:r>
      <w:r w:rsidR="00805528">
        <w:t xml:space="preserve">a </w:t>
      </w:r>
      <w:r w:rsidR="002251B4">
        <w:t xml:space="preserve">step so that similar omissions would be </w:t>
      </w:r>
      <w:r w:rsidR="00805528">
        <w:t xml:space="preserve">avoided </w:t>
      </w:r>
      <w:r w:rsidR="002251B4">
        <w:t>in future</w:t>
      </w:r>
      <w:r w:rsidR="009362D3">
        <w:t xml:space="preserve">. In this context the Court </w:t>
      </w:r>
      <w:r w:rsidR="00805528">
        <w:t xml:space="preserve">refers to </w:t>
      </w:r>
      <w:r w:rsidR="009362D3">
        <w:t xml:space="preserve">its conclusion that the applicant </w:t>
      </w:r>
      <w:r w:rsidR="00805528">
        <w:t xml:space="preserve">did </w:t>
      </w:r>
      <w:r w:rsidR="009362D3">
        <w:t xml:space="preserve">not </w:t>
      </w:r>
      <w:r w:rsidR="004F610A">
        <w:t xml:space="preserve">prove </w:t>
      </w:r>
      <w:r w:rsidR="009362D3">
        <w:t xml:space="preserve">to be </w:t>
      </w:r>
      <w:r w:rsidR="00805528">
        <w:t xml:space="preserve">the </w:t>
      </w:r>
      <w:r w:rsidR="009362D3">
        <w:t xml:space="preserve">victim of </w:t>
      </w:r>
      <w:r w:rsidR="008D2407">
        <w:t>interference</w:t>
      </w:r>
      <w:r w:rsidR="00996956">
        <w:t xml:space="preserve"> </w:t>
      </w:r>
      <w:r w:rsidR="00912698">
        <w:t xml:space="preserve">within the meaning </w:t>
      </w:r>
      <w:r w:rsidR="00805528">
        <w:t xml:space="preserve">of </w:t>
      </w:r>
      <w:r w:rsidR="009362D3">
        <w:t>Article 8</w:t>
      </w:r>
      <w:r w:rsidR="004F610A">
        <w:t xml:space="preserve"> </w:t>
      </w:r>
      <w:r w:rsidR="00912698">
        <w:t xml:space="preserve">of the Convention </w:t>
      </w:r>
      <w:r w:rsidR="004F610A">
        <w:t>(see paragraph</w:t>
      </w:r>
      <w:r w:rsidR="00996956">
        <w:t>s</w:t>
      </w:r>
      <w:r w:rsidR="00386922">
        <w:t> </w:t>
      </w:r>
      <w:r w:rsidR="004F610A">
        <w:t>47</w:t>
      </w:r>
      <w:r w:rsidR="00FD0913">
        <w:t xml:space="preserve"> and 48</w:t>
      </w:r>
      <w:r w:rsidR="004F610A">
        <w:t xml:space="preserve"> above)</w:t>
      </w:r>
      <w:r w:rsidR="009362D3">
        <w:t>.</w:t>
      </w:r>
    </w:p>
    <w:p w:rsidR="006D0A90" w:rsidRDefault="00C40812" w:rsidP="0039636F">
      <w:pPr>
        <w:pStyle w:val="JuPara"/>
      </w:pPr>
      <w:r>
        <w:fldChar w:fldCharType="begin"/>
      </w:r>
      <w:r w:rsidR="00DC0FC4">
        <w:instrText xml:space="preserve"> SEQ level0 \*arabic </w:instrText>
      </w:r>
      <w:r>
        <w:fldChar w:fldCharType="separate"/>
      </w:r>
      <w:r w:rsidR="006E0C02">
        <w:rPr>
          <w:noProof/>
        </w:rPr>
        <w:t>60</w:t>
      </w:r>
      <w:r>
        <w:fldChar w:fldCharType="end"/>
      </w:r>
      <w:r w:rsidR="00DC0FC4">
        <w:t>.  </w:t>
      </w:r>
      <w:r w:rsidR="00805528">
        <w:t>Lastly, t</w:t>
      </w:r>
      <w:r w:rsidR="00DC0FC4">
        <w:t xml:space="preserve">he applicant criticised the </w:t>
      </w:r>
      <w:r w:rsidR="00117413">
        <w:t xml:space="preserve">district court </w:t>
      </w:r>
      <w:r w:rsidR="00DC0FC4">
        <w:t xml:space="preserve">for having </w:t>
      </w:r>
      <w:r w:rsidR="00117413">
        <w:t>refus</w:t>
      </w:r>
      <w:r w:rsidR="00DC0FC4">
        <w:t>ed</w:t>
      </w:r>
      <w:r w:rsidR="00117413">
        <w:t xml:space="preserve"> to </w:t>
      </w:r>
      <w:r w:rsidR="00DC0FC4">
        <w:t>summon</w:t>
      </w:r>
      <w:r w:rsidR="00117413">
        <w:t xml:space="preserve"> </w:t>
      </w:r>
      <w:r w:rsidR="00DC0FC4">
        <w:t xml:space="preserve">three </w:t>
      </w:r>
      <w:r w:rsidR="00117413">
        <w:t xml:space="preserve">witnesses so that </w:t>
      </w:r>
      <w:r w:rsidR="00DC0FC4">
        <w:t>she</w:t>
      </w:r>
      <w:r w:rsidR="00117413">
        <w:t xml:space="preserve"> could prove her claim that she </w:t>
      </w:r>
      <w:r w:rsidR="006803B9">
        <w:t xml:space="preserve">was </w:t>
      </w:r>
      <w:r w:rsidR="00DC0FC4">
        <w:t>identifiable</w:t>
      </w:r>
      <w:r w:rsidR="00117413">
        <w:t xml:space="preserve"> from the article in question. On this point the Court observes that in that request the applicant listed thr</w:t>
      </w:r>
      <w:r w:rsidR="00A923B5">
        <w:t>ee persons:</w:t>
      </w:r>
      <w:r w:rsidR="00117413">
        <w:t xml:space="preserve"> the director</w:t>
      </w:r>
      <w:r w:rsidR="0039636F">
        <w:t xml:space="preserve"> of</w:t>
      </w:r>
      <w:r w:rsidR="00117413">
        <w:t xml:space="preserve"> and </w:t>
      </w:r>
      <w:r w:rsidR="00DC0FC4">
        <w:t>a</w:t>
      </w:r>
      <w:r w:rsidR="00117413">
        <w:t xml:space="preserve"> psychiatrist </w:t>
      </w:r>
      <w:r w:rsidR="0039636F">
        <w:t xml:space="preserve">at </w:t>
      </w:r>
      <w:r w:rsidR="00117413">
        <w:t>the Child Development Centre</w:t>
      </w:r>
      <w:r w:rsidR="00805528">
        <w:t>, and</w:t>
      </w:r>
      <w:r w:rsidR="00117413">
        <w:t xml:space="preserve"> one other person. The Court finds it logical that the first two persons </w:t>
      </w:r>
      <w:r w:rsidR="00C10C26">
        <w:t xml:space="preserve">should </w:t>
      </w:r>
      <w:r w:rsidR="00117413">
        <w:t>have</w:t>
      </w:r>
      <w:r w:rsidR="00C10C26">
        <w:t xml:space="preserve"> been able to</w:t>
      </w:r>
      <w:r w:rsidR="00117413">
        <w:t xml:space="preserve"> recognise the applicant, given that they </w:t>
      </w:r>
      <w:r w:rsidR="00C10C26">
        <w:t xml:space="preserve">had been </w:t>
      </w:r>
      <w:r w:rsidR="00117413">
        <w:t xml:space="preserve">intrinsically involved in </w:t>
      </w:r>
      <w:r w:rsidR="00C10C26">
        <w:t xml:space="preserve">the </w:t>
      </w:r>
      <w:r w:rsidR="00117413">
        <w:t xml:space="preserve">preparation of the report </w:t>
      </w:r>
      <w:r w:rsidR="00C10C26">
        <w:t>on</w:t>
      </w:r>
      <w:r w:rsidR="00CA0EBF">
        <w:t xml:space="preserve"> her son</w:t>
      </w:r>
      <w:r w:rsidR="00CE66E6">
        <w:t>’</w:t>
      </w:r>
      <w:r w:rsidR="00CA0EBF">
        <w:t>s health.</w:t>
      </w:r>
      <w:r w:rsidR="00117413">
        <w:t xml:space="preserve"> </w:t>
      </w:r>
      <w:r w:rsidR="00CA0EBF">
        <w:t xml:space="preserve">Moreover, the limited probative value the two doctors could provide was confirmed, for reasons the Court is not ready to disagree with, by the </w:t>
      </w:r>
      <w:smartTag w:uri="urn:schemas-microsoft-com:office:smarttags" w:element="Street">
        <w:smartTag w:uri="urn:schemas-microsoft-com:office:smarttags" w:element="address">
          <w:r w:rsidR="00CA0EBF">
            <w:t>Vilnius Regional Court</w:t>
          </w:r>
        </w:smartTag>
      </w:smartTag>
      <w:r w:rsidR="00CA0EBF">
        <w:t xml:space="preserve"> (see paragraph</w:t>
      </w:r>
      <w:r w:rsidR="00386922">
        <w:t> </w:t>
      </w:r>
      <w:r w:rsidR="00A06191">
        <w:t>2</w:t>
      </w:r>
      <w:r w:rsidR="00C35A5C">
        <w:t>3</w:t>
      </w:r>
      <w:r w:rsidR="00A06191">
        <w:t xml:space="preserve"> above</w:t>
      </w:r>
      <w:r w:rsidR="00CA0EBF">
        <w:t>)</w:t>
      </w:r>
      <w:r w:rsidR="00A06191">
        <w:t xml:space="preserve">. </w:t>
      </w:r>
      <w:r w:rsidR="00C8413C">
        <w:t>It must also be noted that n</w:t>
      </w:r>
      <w:r w:rsidR="00117413">
        <w:t>either in the request to the domestic court nor in h</w:t>
      </w:r>
      <w:r w:rsidR="002B6CE9">
        <w:t>er</w:t>
      </w:r>
      <w:r w:rsidR="00117413">
        <w:t xml:space="preserve"> observations to the Court did the applicant specify who </w:t>
      </w:r>
      <w:r w:rsidR="00964B5F">
        <w:t>th</w:t>
      </w:r>
      <w:r w:rsidR="00C10C26">
        <w:t>e</w:t>
      </w:r>
      <w:r w:rsidR="00964B5F">
        <w:t xml:space="preserve"> third person was</w:t>
      </w:r>
      <w:r w:rsidR="00117413">
        <w:t xml:space="preserve">. </w:t>
      </w:r>
      <w:r w:rsidR="00222B3B">
        <w:t>Lastly</w:t>
      </w:r>
      <w:r w:rsidR="008D29E5">
        <w:t>,</w:t>
      </w:r>
      <w:r w:rsidR="0072302D">
        <w:t xml:space="preserve"> </w:t>
      </w:r>
      <w:r w:rsidR="006D0A90">
        <w:t>the applicant raised this matter only in her reply to the Government</w:t>
      </w:r>
      <w:r w:rsidR="00CE66E6">
        <w:t>’</w:t>
      </w:r>
      <w:r w:rsidR="006D0A90">
        <w:t>s observations</w:t>
      </w:r>
      <w:r w:rsidR="00C10C26">
        <w:t>;</w:t>
      </w:r>
      <w:r w:rsidR="006D0A90">
        <w:t xml:space="preserve"> </w:t>
      </w:r>
      <w:r w:rsidR="00C10C26">
        <w:t>it was not</w:t>
      </w:r>
      <w:r w:rsidR="006D0A90">
        <w:t xml:space="preserve"> mentioned in the original application form, which was prepared by the </w:t>
      </w:r>
      <w:r w:rsidR="00964B5F">
        <w:t xml:space="preserve">same </w:t>
      </w:r>
      <w:r w:rsidR="006D0A90">
        <w:t>lawyer.</w:t>
      </w:r>
    </w:p>
    <w:p w:rsidR="00404F2A" w:rsidRDefault="00C40812" w:rsidP="0039636F">
      <w:pPr>
        <w:pStyle w:val="JuPara"/>
      </w:pPr>
      <w:r>
        <w:fldChar w:fldCharType="begin"/>
      </w:r>
      <w:r w:rsidR="00E91693">
        <w:instrText xml:space="preserve"> SEQ level0 \*arabic </w:instrText>
      </w:r>
      <w:r>
        <w:fldChar w:fldCharType="separate"/>
      </w:r>
      <w:r w:rsidR="006E0C02">
        <w:rPr>
          <w:noProof/>
        </w:rPr>
        <w:t>61</w:t>
      </w:r>
      <w:r>
        <w:fldChar w:fldCharType="end"/>
      </w:r>
      <w:r w:rsidR="00E91693">
        <w:t>.  </w:t>
      </w:r>
      <w:r w:rsidR="00964B5F">
        <w:t>It follows that this part of the application is manifestly ill-founded and as such must be rejected as inadmissible pursuant to Article</w:t>
      </w:r>
      <w:r w:rsidR="00386922">
        <w:t> </w:t>
      </w:r>
      <w:r w:rsidR="00964B5F">
        <w:t>35 §§</w:t>
      </w:r>
      <w:r w:rsidR="00386922">
        <w:t> </w:t>
      </w:r>
      <w:r w:rsidR="00964B5F">
        <w:t>3 and 4 of the Convention.</w:t>
      </w:r>
    </w:p>
    <w:p w:rsidR="00F71A6A" w:rsidRPr="005B2522" w:rsidRDefault="00F71A6A" w:rsidP="0039636F">
      <w:pPr>
        <w:pStyle w:val="JuHHead"/>
      </w:pPr>
      <w:r w:rsidRPr="005B2522">
        <w:t>FOR THESE REASONS, THE COURT</w:t>
      </w:r>
    </w:p>
    <w:p w:rsidR="00F71A6A" w:rsidRPr="005B2522" w:rsidRDefault="00414655" w:rsidP="0039636F">
      <w:pPr>
        <w:pStyle w:val="JuList"/>
      </w:pPr>
      <w:r>
        <w:t>1</w:t>
      </w:r>
      <w:r w:rsidR="009F07CC" w:rsidRPr="005B2522">
        <w:t>.  </w:t>
      </w:r>
      <w:r w:rsidR="00F71A6A" w:rsidRPr="005B2522">
        <w:rPr>
          <w:i/>
        </w:rPr>
        <w:t>Declares</w:t>
      </w:r>
      <w:r w:rsidR="00F71A6A" w:rsidRPr="005B2522">
        <w:t xml:space="preserve"> </w:t>
      </w:r>
      <w:r w:rsidR="00161877">
        <w:rPr>
          <w:noProof/>
        </w:rPr>
        <w:t>unanimously</w:t>
      </w:r>
      <w:r w:rsidR="00F22905" w:rsidRPr="005B2522">
        <w:rPr>
          <w:noProof/>
        </w:rPr>
        <w:t xml:space="preserve"> </w:t>
      </w:r>
      <w:r w:rsidR="00F71A6A" w:rsidRPr="005B2522">
        <w:t xml:space="preserve">the complaint concerning </w:t>
      </w:r>
      <w:r w:rsidR="00C10C26">
        <w:t xml:space="preserve">the </w:t>
      </w:r>
      <w:r>
        <w:t>alleged violation of the applicant</w:t>
      </w:r>
      <w:r w:rsidR="00CE66E6">
        <w:t>’</w:t>
      </w:r>
      <w:r>
        <w:t>s right to respect for her privacy</w:t>
      </w:r>
      <w:r w:rsidR="00F71A6A" w:rsidRPr="005B2522">
        <w:t xml:space="preserve"> admissible and the remainder of the </w:t>
      </w:r>
      <w:r w:rsidR="00F22905" w:rsidRPr="005B2522">
        <w:rPr>
          <w:noProof/>
        </w:rPr>
        <w:t>application</w:t>
      </w:r>
      <w:r w:rsidR="0011665B" w:rsidRPr="005B2522">
        <w:t xml:space="preserve"> inadmissible;</w:t>
      </w:r>
    </w:p>
    <w:p w:rsidR="00F71A6A" w:rsidRPr="005B2522" w:rsidRDefault="00F71A6A" w:rsidP="0039636F">
      <w:pPr>
        <w:pStyle w:val="JuList"/>
      </w:pPr>
    </w:p>
    <w:p w:rsidR="009F07CC" w:rsidRPr="005B2522" w:rsidRDefault="00414655" w:rsidP="0039636F">
      <w:pPr>
        <w:pStyle w:val="JuList"/>
      </w:pPr>
      <w:r>
        <w:t>2</w:t>
      </w:r>
      <w:r w:rsidR="009F07CC" w:rsidRPr="005B2522">
        <w:t>.</w:t>
      </w:r>
      <w:r w:rsidR="00F71A6A" w:rsidRPr="005B2522">
        <w:t>  </w:t>
      </w:r>
      <w:r w:rsidR="00F71A6A" w:rsidRPr="005B2522">
        <w:rPr>
          <w:i/>
        </w:rPr>
        <w:t>Holds</w:t>
      </w:r>
      <w:r w:rsidR="00F71A6A" w:rsidRPr="005B2522">
        <w:t xml:space="preserve"> </w:t>
      </w:r>
      <w:r w:rsidR="00F22905" w:rsidRPr="005B2522">
        <w:rPr>
          <w:noProof/>
        </w:rPr>
        <w:t xml:space="preserve">by </w:t>
      </w:r>
      <w:r w:rsidR="00161877">
        <w:rPr>
          <w:noProof/>
        </w:rPr>
        <w:t>five</w:t>
      </w:r>
      <w:r w:rsidR="00F22905" w:rsidRPr="005B2522">
        <w:rPr>
          <w:noProof/>
        </w:rPr>
        <w:t xml:space="preserve"> votes to </w:t>
      </w:r>
      <w:r w:rsidR="00161877">
        <w:rPr>
          <w:noProof/>
        </w:rPr>
        <w:t>two</w:t>
      </w:r>
      <w:r w:rsidR="00F22905" w:rsidRPr="005B2522">
        <w:rPr>
          <w:noProof/>
        </w:rPr>
        <w:t xml:space="preserve"> </w:t>
      </w:r>
      <w:r w:rsidR="00F71A6A" w:rsidRPr="005B2522">
        <w:t xml:space="preserve">that there has been </w:t>
      </w:r>
      <w:r w:rsidR="00A35C4C">
        <w:t>no</w:t>
      </w:r>
      <w:r w:rsidR="00F71A6A" w:rsidRPr="005B2522">
        <w:t xml:space="preserve"> violation of Article</w:t>
      </w:r>
      <w:r w:rsidR="003D4B4A">
        <w:t xml:space="preserve"> </w:t>
      </w:r>
      <w:r w:rsidR="00A35C4C">
        <w:t>8</w:t>
      </w:r>
      <w:r w:rsidR="00E04E80">
        <w:t xml:space="preserve"> of the Convention</w:t>
      </w:r>
      <w:r w:rsidR="00827E26">
        <w:t>.</w:t>
      </w:r>
    </w:p>
    <w:p w:rsidR="00325C2B" w:rsidRDefault="00F71A6A" w:rsidP="0039636F">
      <w:pPr>
        <w:pStyle w:val="JuParaLast"/>
      </w:pPr>
      <w:r w:rsidRPr="005B2522">
        <w:t xml:space="preserve">Done in English, and notified in writing on </w:t>
      </w:r>
      <w:r w:rsidR="00161877">
        <w:t>17</w:t>
      </w:r>
      <w:r w:rsidR="003D4B4A">
        <w:t xml:space="preserve"> </w:t>
      </w:r>
      <w:r w:rsidR="00161877">
        <w:t>January</w:t>
      </w:r>
      <w:r w:rsidR="003D4B4A">
        <w:t xml:space="preserve"> </w:t>
      </w:r>
      <w:r w:rsidR="00161877">
        <w:t>2012</w:t>
      </w:r>
      <w:r w:rsidRPr="005B2522">
        <w:t>, pursuant to Rule</w:t>
      </w:r>
      <w:r w:rsidR="00386922">
        <w:t> </w:t>
      </w:r>
      <w:r w:rsidRPr="005B2522">
        <w:t>77</w:t>
      </w:r>
      <w:r w:rsidR="0011665B" w:rsidRPr="005B2522">
        <w:t xml:space="preserve"> </w:t>
      </w:r>
      <w:r w:rsidRPr="005B2522">
        <w:t>§§</w:t>
      </w:r>
      <w:r w:rsidR="00386922">
        <w:t> </w:t>
      </w:r>
      <w:r w:rsidRPr="005B2522">
        <w:t>2 and</w:t>
      </w:r>
      <w:r w:rsidR="00386922">
        <w:t> </w:t>
      </w:r>
      <w:r w:rsidRPr="005B2522">
        <w:t>3 of the Rules of Court.</w:t>
      </w:r>
    </w:p>
    <w:p w:rsidR="00FD0913" w:rsidRPr="00FD0913" w:rsidRDefault="00FD0913" w:rsidP="00FD0913">
      <w:pPr>
        <w:pStyle w:val="JuPara"/>
      </w:pPr>
    </w:p>
    <w:p w:rsidR="0079187F" w:rsidRDefault="00325C2B" w:rsidP="0039636F">
      <w:pPr>
        <w:pStyle w:val="JuSigned"/>
        <w:keepNext/>
        <w:keepLines/>
        <w:rPr>
          <w:lang w:val="fr-FR"/>
        </w:rPr>
      </w:pPr>
      <w:r w:rsidRPr="005B2522">
        <w:tab/>
      </w:r>
      <w:r w:rsidR="00161877" w:rsidRPr="00161877">
        <w:rPr>
          <w:lang w:val="fr-FR"/>
        </w:rPr>
        <w:t xml:space="preserve">Françoise </w:t>
      </w:r>
      <w:r w:rsidR="00161877" w:rsidRPr="00161877">
        <w:rPr>
          <w:noProof/>
          <w:lang w:val="fr-FR"/>
        </w:rPr>
        <w:t>Elens-Passos</w:t>
      </w:r>
      <w:r w:rsidR="00A8381C" w:rsidRPr="00161877">
        <w:rPr>
          <w:lang w:val="fr-FR"/>
        </w:rPr>
        <w:tab/>
      </w:r>
      <w:bookmarkStart w:id="1" w:name="OLE_LINK1"/>
      <w:r w:rsidR="006D2519" w:rsidRPr="00161877">
        <w:rPr>
          <w:lang w:val="fr-FR"/>
        </w:rPr>
        <w:t xml:space="preserve">Françoise </w:t>
      </w:r>
      <w:bookmarkEnd w:id="1"/>
      <w:r w:rsidR="006D2519" w:rsidRPr="00161877">
        <w:rPr>
          <w:lang w:val="fr-FR"/>
        </w:rPr>
        <w:t>Tulkens</w:t>
      </w:r>
      <w:r w:rsidR="00A8381C" w:rsidRPr="00161877">
        <w:rPr>
          <w:lang w:val="fr-FR"/>
        </w:rPr>
        <w:tab/>
      </w:r>
      <w:r w:rsidR="00404F2A">
        <w:rPr>
          <w:lang w:val="fr-FR"/>
        </w:rPr>
        <w:t xml:space="preserve"> </w:t>
      </w:r>
      <w:r w:rsidR="00161877" w:rsidRPr="00161877">
        <w:rPr>
          <w:lang w:val="fr-FR"/>
        </w:rPr>
        <w:t xml:space="preserve">Deputy </w:t>
      </w:r>
      <w:r w:rsidR="00F22905" w:rsidRPr="00161877">
        <w:rPr>
          <w:iCs/>
          <w:noProof/>
          <w:lang w:val="fr-FR"/>
        </w:rPr>
        <w:t>Registrar</w:t>
      </w:r>
      <w:r w:rsidR="00A8381C" w:rsidRPr="00161877">
        <w:rPr>
          <w:lang w:val="fr-FR"/>
        </w:rPr>
        <w:tab/>
        <w:t>President</w:t>
      </w:r>
    </w:p>
    <w:p w:rsidR="00FD0913" w:rsidRPr="00FD0913" w:rsidRDefault="00FD0913" w:rsidP="00FD0913">
      <w:pPr>
        <w:pStyle w:val="JuParaLast"/>
        <w:rPr>
          <w:lang w:val="fr-FR"/>
        </w:rPr>
      </w:pPr>
    </w:p>
    <w:p w:rsidR="00FD0913" w:rsidRDefault="00FD0913" w:rsidP="00FD0913">
      <w:pPr>
        <w:pStyle w:val="JuParaLast"/>
      </w:pPr>
      <w:r w:rsidRPr="0025646D">
        <w:t>In accordance with Article 45 § 2 of the Convention and Rule 74 § 2 of the Rules of Court, the separate opinion of Judge</w:t>
      </w:r>
      <w:r>
        <w:t>s</w:t>
      </w:r>
      <w:r w:rsidRPr="0025646D">
        <w:t xml:space="preserve"> </w:t>
      </w:r>
      <w:r w:rsidRPr="00161877">
        <w:t>Pinto de Albuquerque</w:t>
      </w:r>
      <w:r>
        <w:t xml:space="preserve"> and </w:t>
      </w:r>
      <w:r w:rsidRPr="00161877">
        <w:t>Keller</w:t>
      </w:r>
      <w:r w:rsidRPr="0025646D">
        <w:t xml:space="preserve"> is annexed to this judgment.</w:t>
      </w:r>
    </w:p>
    <w:p w:rsidR="00FD0913" w:rsidRDefault="00FD0913" w:rsidP="009A70EB">
      <w:pPr>
        <w:pStyle w:val="JuInitialled"/>
      </w:pPr>
      <w:r>
        <w:t>F.T</w:t>
      </w:r>
      <w:r w:rsidRPr="0025646D">
        <w:br/>
      </w:r>
      <w:r>
        <w:t>F.E.P.</w:t>
      </w:r>
    </w:p>
    <w:p w:rsidR="00FD0913" w:rsidRDefault="00FD0913" w:rsidP="00FD0913">
      <w:pPr>
        <w:pStyle w:val="JuInitialled"/>
        <w:jc w:val="left"/>
        <w:sectPr w:rsidR="00FD0913" w:rsidSect="00161877">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254"/>
        </w:sectPr>
      </w:pPr>
    </w:p>
    <w:p w:rsidR="00630F34" w:rsidRPr="00E2632F" w:rsidRDefault="00630F34" w:rsidP="00630F34">
      <w:pPr>
        <w:pStyle w:val="OpiHHead"/>
      </w:pPr>
      <w:r>
        <w:t xml:space="preserve">DISSENTING </w:t>
      </w:r>
      <w:r w:rsidRPr="00E2632F">
        <w:t>OPINION OF JUDGE</w:t>
      </w:r>
      <w:r>
        <w:t>S</w:t>
      </w:r>
      <w:r w:rsidR="00A36E7A">
        <w:br w:type="textWrapping" w:clear="all"/>
      </w:r>
      <w:r>
        <w:t>PINTO DE ALBUQUERQUE AND KELLER</w:t>
      </w:r>
    </w:p>
    <w:p w:rsidR="00630F34" w:rsidRDefault="00630F34" w:rsidP="00630F34">
      <w:pPr>
        <w:pStyle w:val="OpiPara"/>
      </w:pPr>
      <w:r>
        <w:t>1.</w:t>
      </w:r>
      <w:r w:rsidR="00A36E7A">
        <w:t>  </w:t>
      </w:r>
      <w:r>
        <w:t>To our regret, we are unable to follow the opinion of the majority. We think that there has been a breach of Article 8, owing to the illegitimate disclosure of confidential medical information by the director of the Children</w:t>
      </w:r>
      <w:r w:rsidR="00CE66E6">
        <w:t>’</w:t>
      </w:r>
      <w:r>
        <w:t>s Welfare Service (CWS). We will explain our opinion by describing the applicable convention norms and principles</w:t>
      </w:r>
      <w:r w:rsidDel="0027514E">
        <w:t xml:space="preserve"> </w:t>
      </w:r>
      <w:r>
        <w:t>and by assessing the facts in the light of these principles.</w:t>
      </w:r>
    </w:p>
    <w:p w:rsidR="00A36E7A" w:rsidRDefault="00A36E7A" w:rsidP="00630F34">
      <w:pPr>
        <w:pStyle w:val="OpiPara"/>
      </w:pPr>
    </w:p>
    <w:p w:rsidR="00630F34" w:rsidRDefault="00630F34" w:rsidP="00630F34">
      <w:pPr>
        <w:pStyle w:val="OpiPara"/>
      </w:pPr>
      <w:r>
        <w:t>2.</w:t>
      </w:r>
      <w:r w:rsidR="00A36E7A">
        <w:t>  </w:t>
      </w:r>
      <w:r>
        <w:t>In short, the facts are the following: the applicant complained publicly about the way the CWS had acted during her son</w:t>
      </w:r>
      <w:r w:rsidR="00CE66E6">
        <w:t>’</w:t>
      </w:r>
      <w:r>
        <w:t>s custody proceedings and about the professional qualifications of CWS employees. She did so by means of two articles in the national press and an interview on national television. Reacting to that criticism, the director of the service in question gave an interview to a national newspaper referring to the case pending before a court of a “divorced” mother of a “thirteen-year-old teenager”, who had given an interview for a television programme and had used “slander” with regard to the CWS. The director of the service also cited the child</w:t>
      </w:r>
      <w:r w:rsidR="00CE66E6">
        <w:t>’</w:t>
      </w:r>
      <w:r>
        <w:t>s medical record, sometimes even quoting the medical conclusions directly (for example, “The psychiatrists</w:t>
      </w:r>
      <w:r w:rsidR="00CE66E6">
        <w:t>’</w:t>
      </w:r>
      <w:r>
        <w:t xml:space="preserve"> conclusion states that at present it is best for the boy to</w:t>
      </w:r>
      <w:r w:rsidR="00404F2A">
        <w:t>...</w:t>
      </w:r>
      <w:r>
        <w:t xml:space="preserve"> The psychiatrists</w:t>
      </w:r>
      <w:r w:rsidR="00CE66E6">
        <w:t>’</w:t>
      </w:r>
      <w:r>
        <w:t xml:space="preserve"> conclusion states that the boy is</w:t>
      </w:r>
      <w:r w:rsidR="00404F2A">
        <w:t>...</w:t>
      </w:r>
      <w:r>
        <w:t xml:space="preserve"> According to the doctor, his real father asks too much of the boy</w:t>
      </w:r>
      <w:r w:rsidR="00404F2A">
        <w:t>...</w:t>
      </w:r>
      <w:r>
        <w:t xml:space="preserve"> The mother suspected that the boy could be sexually abused. After the doctors examined the boy, no signs of abuse were discovered. The psychiatrists</w:t>
      </w:r>
      <w:r w:rsidR="00CE66E6">
        <w:t>’</w:t>
      </w:r>
      <w:r>
        <w:t xml:space="preserve"> conclusion also states that</w:t>
      </w:r>
      <w:r w:rsidR="00404F2A">
        <w:t>...</w:t>
      </w:r>
      <w:r>
        <w:t xml:space="preserve"> The mother told the doctors that</w:t>
      </w:r>
      <w:r w:rsidR="00404F2A">
        <w:t>...</w:t>
      </w:r>
      <w:r>
        <w:t>.”).</w:t>
      </w:r>
    </w:p>
    <w:p w:rsidR="00A36E7A" w:rsidRDefault="00A36E7A" w:rsidP="00630F34">
      <w:pPr>
        <w:pStyle w:val="OpiPara"/>
      </w:pPr>
    </w:p>
    <w:p w:rsidR="00630F34" w:rsidRDefault="00630F34" w:rsidP="00630F34">
      <w:pPr>
        <w:pStyle w:val="OpiPara"/>
        <w:rPr>
          <w:lang/>
        </w:rPr>
      </w:pPr>
      <w:r w:rsidRPr="007F7DF1">
        <w:t>3.</w:t>
      </w:r>
      <w:r w:rsidR="00A36E7A">
        <w:t>  </w:t>
      </w:r>
      <w:r w:rsidRPr="00661117">
        <w:rPr>
          <w:u w:val="single"/>
        </w:rPr>
        <w:t>Article 8</w:t>
      </w:r>
      <w:r>
        <w:rPr>
          <w:u w:val="single"/>
        </w:rPr>
        <w:t xml:space="preserve"> of the Convention</w:t>
      </w:r>
      <w:r w:rsidRPr="00661117">
        <w:rPr>
          <w:u w:val="single"/>
        </w:rPr>
        <w:t xml:space="preserve"> </w:t>
      </w:r>
      <w:r>
        <w:rPr>
          <w:u w:val="single"/>
        </w:rPr>
        <w:t xml:space="preserve">protects </w:t>
      </w:r>
      <w:r w:rsidRPr="00661117">
        <w:rPr>
          <w:u w:val="single"/>
        </w:rPr>
        <w:t>the confidentiality of medical data</w:t>
      </w:r>
      <w:r>
        <w:rPr>
          <w:u w:val="single"/>
        </w:rPr>
        <w:t xml:space="preserve"> as a fundamental part of the intimacy of a human being</w:t>
      </w:r>
      <w:r w:rsidRPr="00F2260C">
        <w:t xml:space="preserve"> </w:t>
      </w:r>
      <w:r w:rsidRPr="007E1719">
        <w:t xml:space="preserve">(see the leading judgments of the Court in the cases of </w:t>
      </w:r>
      <w:r w:rsidR="007F7DF1">
        <w:rPr>
          <w:i/>
        </w:rPr>
        <w:t>Z</w:t>
      </w:r>
      <w:r w:rsidRPr="00F2260C">
        <w:rPr>
          <w:i/>
        </w:rPr>
        <w:t xml:space="preserve"> v. Finland</w:t>
      </w:r>
      <w:r w:rsidRPr="007E1719">
        <w:t xml:space="preserve">, 25 February 1997, </w:t>
      </w:r>
      <w:r w:rsidR="007F7DF1" w:rsidRPr="00F8313D">
        <w:rPr>
          <w:i/>
        </w:rPr>
        <w:t>Reports of Judgments and Decisions</w:t>
      </w:r>
      <w:r w:rsidR="007F7DF1" w:rsidRPr="00F8313D">
        <w:t xml:space="preserve"> 1997</w:t>
      </w:r>
      <w:r w:rsidR="007F7DF1">
        <w:t>-</w:t>
      </w:r>
      <w:r w:rsidR="007F7DF1" w:rsidRPr="00F8313D">
        <w:t>I</w:t>
      </w:r>
      <w:r w:rsidR="007F7DF1">
        <w:t xml:space="preserve">, </w:t>
      </w:r>
      <w:r w:rsidRPr="007E1719">
        <w:t xml:space="preserve">and </w:t>
      </w:r>
      <w:r w:rsidRPr="00F2260C">
        <w:rPr>
          <w:i/>
        </w:rPr>
        <w:t>M.</w:t>
      </w:r>
      <w:r w:rsidR="007F7DF1">
        <w:rPr>
          <w:i/>
        </w:rPr>
        <w:t xml:space="preserve"> </w:t>
      </w:r>
      <w:r w:rsidRPr="00F2260C">
        <w:rPr>
          <w:i/>
        </w:rPr>
        <w:t>S. v.</w:t>
      </w:r>
      <w:r w:rsidR="003D4B4A">
        <w:rPr>
          <w:i/>
        </w:rPr>
        <w:t xml:space="preserve"> </w:t>
      </w:r>
      <w:r w:rsidRPr="00F2260C">
        <w:rPr>
          <w:i/>
        </w:rPr>
        <w:t>Sweden</w:t>
      </w:r>
      <w:r w:rsidRPr="007E1719">
        <w:t>, 27</w:t>
      </w:r>
      <w:r w:rsidR="007F7DF1">
        <w:t> </w:t>
      </w:r>
      <w:r w:rsidRPr="007E1719">
        <w:t xml:space="preserve">August 1997, </w:t>
      </w:r>
      <w:r w:rsidR="007F7DF1" w:rsidRPr="00F8313D">
        <w:rPr>
          <w:i/>
        </w:rPr>
        <w:t>Reports of Judgments and Decisions</w:t>
      </w:r>
      <w:r w:rsidR="007F7DF1" w:rsidRPr="00F8313D">
        <w:t xml:space="preserve"> 1997</w:t>
      </w:r>
      <w:r w:rsidR="007F7DF1">
        <w:t>-</w:t>
      </w:r>
      <w:r w:rsidR="007F7DF1" w:rsidRPr="00F8313D">
        <w:t>IV</w:t>
      </w:r>
      <w:r w:rsidR="007F7DF1">
        <w:t xml:space="preserve">, </w:t>
      </w:r>
      <w:r w:rsidRPr="007E1719">
        <w:t xml:space="preserve">and also the fundamental ECJ judgment </w:t>
      </w:r>
      <w:r w:rsidRPr="00E62D62">
        <w:t xml:space="preserve">of 5 October 1994, </w:t>
      </w:r>
      <w:r w:rsidRPr="00E62D62">
        <w:rPr>
          <w:i/>
        </w:rPr>
        <w:t>X. v. Commission</w:t>
      </w:r>
      <w:r w:rsidRPr="00E62D62">
        <w:t>).</w:t>
      </w:r>
      <w:r>
        <w:t xml:space="preserve"> T</w:t>
      </w:r>
      <w:r w:rsidRPr="00466831">
        <w:t xml:space="preserve">he </w:t>
      </w:r>
      <w:r>
        <w:t>doctor</w:t>
      </w:r>
      <w:r w:rsidRPr="00466831">
        <w:t xml:space="preserve">-patient privilege applies to any information shared between </w:t>
      </w:r>
      <w:r>
        <w:t>doctor</w:t>
      </w:r>
      <w:r w:rsidRPr="00466831">
        <w:t xml:space="preserve"> and patient or accessed by the </w:t>
      </w:r>
      <w:r>
        <w:t>doctor</w:t>
      </w:r>
      <w:r w:rsidRPr="00466831">
        <w:t xml:space="preserve"> in </w:t>
      </w:r>
      <w:r>
        <w:t>respect</w:t>
      </w:r>
      <w:r w:rsidRPr="00466831">
        <w:t xml:space="preserve"> of the patient during the course of medical care. This principle prevents </w:t>
      </w:r>
      <w:r>
        <w:t>doctors</w:t>
      </w:r>
      <w:r w:rsidRPr="00466831">
        <w:t xml:space="preserve"> and other health professionals from revealing the content of conversations, exam</w:t>
      </w:r>
      <w:r>
        <w:t>ination</w:t>
      </w:r>
      <w:r w:rsidRPr="00466831">
        <w:t xml:space="preserve">s, </w:t>
      </w:r>
      <w:r>
        <w:t xml:space="preserve">medical </w:t>
      </w:r>
      <w:r w:rsidRPr="00466831">
        <w:t xml:space="preserve">records and </w:t>
      </w:r>
      <w:r>
        <w:t xml:space="preserve">any medical </w:t>
      </w:r>
      <w:r w:rsidRPr="00466831">
        <w:t>data related to patients</w:t>
      </w:r>
      <w:r>
        <w:t xml:space="preserve">, including psychiatric information (see </w:t>
      </w:r>
      <w:r w:rsidR="007F7DF1" w:rsidRPr="00F8313D">
        <w:rPr>
          <w:i/>
          <w:szCs w:val="24"/>
        </w:rPr>
        <w:t>Panteleyenko v.</w:t>
      </w:r>
      <w:r w:rsidR="003D4B4A">
        <w:rPr>
          <w:i/>
          <w:szCs w:val="24"/>
        </w:rPr>
        <w:t xml:space="preserve"> </w:t>
      </w:r>
      <w:r w:rsidR="007F7DF1" w:rsidRPr="00F8313D">
        <w:rPr>
          <w:i/>
          <w:szCs w:val="24"/>
        </w:rPr>
        <w:t>Ukraine</w:t>
      </w:r>
      <w:r w:rsidR="007F7DF1" w:rsidRPr="00F8313D">
        <w:rPr>
          <w:szCs w:val="24"/>
        </w:rPr>
        <w:t>, no.</w:t>
      </w:r>
      <w:r w:rsidR="007F7DF1">
        <w:rPr>
          <w:szCs w:val="24"/>
        </w:rPr>
        <w:t> </w:t>
      </w:r>
      <w:r w:rsidR="007F7DF1" w:rsidRPr="00F8313D">
        <w:rPr>
          <w:szCs w:val="24"/>
        </w:rPr>
        <w:t>11901/02, 29</w:t>
      </w:r>
      <w:r w:rsidR="007F7DF1">
        <w:rPr>
          <w:szCs w:val="24"/>
        </w:rPr>
        <w:t> </w:t>
      </w:r>
      <w:r w:rsidR="007F7DF1" w:rsidRPr="00F8313D">
        <w:rPr>
          <w:szCs w:val="24"/>
        </w:rPr>
        <w:t>June 2006</w:t>
      </w:r>
      <w:r>
        <w:t>). The bond of trust between the health professional and the patient built upon this principle is of paramount importance both for the diagnostic process, which relies on the assessment of an accurate history of the illness, but also subsequently for the treatment phase, which often depends as much on the patient</w:t>
      </w:r>
      <w:r w:rsidR="00CE66E6">
        <w:t>’</w:t>
      </w:r>
      <w:r>
        <w:t xml:space="preserve">s trust in the health professional as it does on medication and surgery. This is a </w:t>
      </w:r>
      <w:r>
        <w:rPr>
          <w:lang/>
        </w:rPr>
        <w:t xml:space="preserve">non-negotiable tenet of medical practice, although exceptions to this principle have been carved out over the centuries, </w:t>
      </w:r>
      <w:r w:rsidRPr="000D57AB">
        <w:rPr>
          <w:lang/>
        </w:rPr>
        <w:t xml:space="preserve">such as where a patient threatens himself or herself or </w:t>
      </w:r>
      <w:r>
        <w:rPr>
          <w:lang/>
        </w:rPr>
        <w:t>a third</w:t>
      </w:r>
      <w:r w:rsidRPr="000D57AB">
        <w:rPr>
          <w:lang/>
        </w:rPr>
        <w:t xml:space="preserve"> person</w:t>
      </w:r>
      <w:r>
        <w:rPr>
          <w:lang/>
        </w:rPr>
        <w:t xml:space="preserve"> with </w:t>
      </w:r>
      <w:r w:rsidRPr="000D57AB">
        <w:rPr>
          <w:lang/>
        </w:rPr>
        <w:t>bodily harm</w:t>
      </w:r>
      <w:r>
        <w:rPr>
          <w:lang/>
        </w:rPr>
        <w:t>.</w:t>
      </w:r>
    </w:p>
    <w:p w:rsidR="00A36E7A" w:rsidRDefault="00A36E7A" w:rsidP="00630F34">
      <w:pPr>
        <w:pStyle w:val="OpiPara"/>
      </w:pPr>
    </w:p>
    <w:p w:rsidR="00630F34" w:rsidRDefault="00630F34" w:rsidP="00630F34">
      <w:pPr>
        <w:pStyle w:val="OpiPara"/>
        <w:rPr>
          <w:u w:val="single"/>
        </w:rPr>
      </w:pPr>
      <w:r w:rsidRPr="00C56B97">
        <w:rPr>
          <w:u w:val="single"/>
        </w:rPr>
        <w:t xml:space="preserve">Article 8 only admits the disclosure of confidential medical data in exceptional cases, either on the basis of free and informed </w:t>
      </w:r>
      <w:r>
        <w:rPr>
          <w:u w:val="single"/>
        </w:rPr>
        <w:t>consent of</w:t>
      </w:r>
      <w:r w:rsidRPr="00C56B97">
        <w:rPr>
          <w:u w:val="single"/>
        </w:rPr>
        <w:t xml:space="preserve"> the patient or of a decision taken by the legally competent authority</w:t>
      </w:r>
      <w:r>
        <w:rPr>
          <w:u w:val="single"/>
        </w:rPr>
        <w:t>, when such a decision is proportionate and necessary in a democratic society in order to pursue one of the aims foreseen in its second paragraph</w:t>
      </w:r>
      <w:r w:rsidRPr="00F2260C">
        <w:t xml:space="preserve"> (</w:t>
      </w:r>
      <w:r>
        <w:t xml:space="preserve">compare </w:t>
      </w:r>
      <w:r w:rsidR="003D4B4A">
        <w:rPr>
          <w:rStyle w:val="ju-005fpara--char"/>
          <w:i/>
          <w:iCs/>
        </w:rPr>
        <w:t>Z </w:t>
      </w:r>
      <w:r w:rsidRPr="00E62D62">
        <w:rPr>
          <w:rStyle w:val="ju-005fpara--char"/>
          <w:i/>
          <w:iCs/>
        </w:rPr>
        <w:t>v. Finland</w:t>
      </w:r>
      <w:r w:rsidRPr="00E62D62">
        <w:t>, cited</w:t>
      </w:r>
      <w:r>
        <w:t xml:space="preserve"> above, §§ 96-109, and contrast </w:t>
      </w:r>
      <w:r w:rsidRPr="007F7DF1">
        <w:rPr>
          <w:i/>
        </w:rPr>
        <w:t>Panteleyenko</w:t>
      </w:r>
      <w:r w:rsidRPr="00F2260C">
        <w:t>, cited above</w:t>
      </w:r>
      <w:r>
        <w:t>, §§ 54-62, where the Court found inadmissible an unnecessary disclosure at a court hearing of confidential information regarding the applicant</w:t>
      </w:r>
      <w:r w:rsidR="00CE66E6">
        <w:t>’</w:t>
      </w:r>
      <w:r>
        <w:t>s mental state and psychiatric treatment).</w:t>
      </w:r>
    </w:p>
    <w:p w:rsidR="00A36E7A" w:rsidRDefault="00A36E7A" w:rsidP="00630F34">
      <w:pPr>
        <w:pStyle w:val="OpiPara"/>
        <w:rPr>
          <w:u w:val="single"/>
        </w:rPr>
      </w:pPr>
    </w:p>
    <w:p w:rsidR="00630F34" w:rsidRPr="00630F34" w:rsidRDefault="00630F34" w:rsidP="00630F34">
      <w:pPr>
        <w:pStyle w:val="OpiPara"/>
      </w:pPr>
      <w:r w:rsidRPr="000D57AB">
        <w:rPr>
          <w:u w:val="single"/>
        </w:rPr>
        <w:t>A patient</w:t>
      </w:r>
      <w:r w:rsidR="00CE66E6">
        <w:rPr>
          <w:u w:val="single"/>
        </w:rPr>
        <w:t>’</w:t>
      </w:r>
      <w:r w:rsidRPr="000D57AB">
        <w:rPr>
          <w:u w:val="single"/>
        </w:rPr>
        <w:t>s consent to disclosure of confidential information may also be implied from the circumstances</w:t>
      </w:r>
      <w:r w:rsidRPr="00F2260C">
        <w:t xml:space="preserve">. </w:t>
      </w:r>
      <w:r w:rsidRPr="00A3777C">
        <w:t>For example, health professionals directly involved in a patient</w:t>
      </w:r>
      <w:r w:rsidR="00CE66E6">
        <w:t>’</w:t>
      </w:r>
      <w:r w:rsidRPr="00A3777C">
        <w:t xml:space="preserve">s treatment generally have access to medical </w:t>
      </w:r>
      <w:r>
        <w:t>data</w:t>
      </w:r>
      <w:r w:rsidRPr="00A3777C">
        <w:t>. Even if the patient has not expressly authori</w:t>
      </w:r>
      <w:r>
        <w:t>s</w:t>
      </w:r>
      <w:r w:rsidRPr="00A3777C">
        <w:t xml:space="preserve">ed disclosure of his or her medical </w:t>
      </w:r>
      <w:r>
        <w:t>data</w:t>
      </w:r>
      <w:r w:rsidRPr="00A3777C">
        <w:t>, such consent is implied from the patient</w:t>
      </w:r>
      <w:r w:rsidR="00CE66E6">
        <w:t>’</w:t>
      </w:r>
      <w:r w:rsidRPr="00A3777C">
        <w:t xml:space="preserve">s acceptance of treatment. Consent is also implied when a patient is transferred from one health professional or </w:t>
      </w:r>
      <w:r>
        <w:t xml:space="preserve">health </w:t>
      </w:r>
      <w:r w:rsidRPr="00A3777C">
        <w:t>facility to another</w:t>
      </w:r>
      <w:r>
        <w:t xml:space="preserve"> or even to another public institution, such as the Social Security office (</w:t>
      </w:r>
      <w:r w:rsidRPr="00E62D62">
        <w:t xml:space="preserve">see </w:t>
      </w:r>
      <w:r w:rsidRPr="00E62D62">
        <w:rPr>
          <w:i/>
        </w:rPr>
        <w:t>M.S. v. Sweden</w:t>
      </w:r>
      <w:r w:rsidRPr="00E62D62">
        <w:t>,</w:t>
      </w:r>
      <w:r>
        <w:t xml:space="preserve"> cited above, § 42, where the Court found no violation when the medical data had been communicated by one public institution to another in the context of an assessment of whether the applicant satisfied the legal conditions for obtaining social-security benefit which she herself had requested)</w:t>
      </w:r>
      <w:r w:rsidRPr="00A3777C">
        <w:t>.</w:t>
      </w:r>
    </w:p>
    <w:p w:rsidR="00A36E7A" w:rsidRDefault="00A36E7A" w:rsidP="00630F34">
      <w:pPr>
        <w:pStyle w:val="OpiPara"/>
        <w:rPr>
          <w:u w:val="single"/>
        </w:rPr>
      </w:pPr>
    </w:p>
    <w:p w:rsidR="00630F34" w:rsidRDefault="00630F34" w:rsidP="00630F34">
      <w:pPr>
        <w:pStyle w:val="OpiPara"/>
      </w:pPr>
      <w:r w:rsidRPr="00D344D1">
        <w:rPr>
          <w:u w:val="single"/>
        </w:rPr>
        <w:t xml:space="preserve">The fact that the patient voluntarily discloses to the general public some confidential information does not </w:t>
      </w:r>
      <w:r>
        <w:rPr>
          <w:u w:val="single"/>
        </w:rPr>
        <w:t>release</w:t>
      </w:r>
      <w:r w:rsidRPr="00D344D1">
        <w:rPr>
          <w:u w:val="single"/>
        </w:rPr>
        <w:t xml:space="preserve"> health professionals from the duty </w:t>
      </w:r>
      <w:r>
        <w:rPr>
          <w:u w:val="single"/>
        </w:rPr>
        <w:t>of</w:t>
      </w:r>
      <w:r w:rsidRPr="00D344D1">
        <w:rPr>
          <w:u w:val="single"/>
        </w:rPr>
        <w:t xml:space="preserve"> confidentiality. </w:t>
      </w:r>
      <w:r>
        <w:rPr>
          <w:u w:val="single"/>
        </w:rPr>
        <w:t>In cases where the patient discloses to the general public a specific item of confidential information, t</w:t>
      </w:r>
      <w:r w:rsidRPr="00D344D1">
        <w:rPr>
          <w:u w:val="single"/>
        </w:rPr>
        <w:t>he health professional may only confirm or refute th</w:t>
      </w:r>
      <w:r>
        <w:rPr>
          <w:u w:val="single"/>
        </w:rPr>
        <w:t>at</w:t>
      </w:r>
      <w:r w:rsidRPr="00D344D1">
        <w:rPr>
          <w:u w:val="single"/>
        </w:rPr>
        <w:t xml:space="preserve"> information which has been made public by the patient</w:t>
      </w:r>
      <w:r w:rsidRPr="004A3D5A">
        <w:t xml:space="preserve">. The </w:t>
      </w:r>
      <w:r>
        <w:t xml:space="preserve">confidentiality of medical data should be preserved until it no </w:t>
      </w:r>
      <w:r w:rsidRPr="00E62D62">
        <w:t xml:space="preserve">longer constitutes an overriding interest (see </w:t>
      </w:r>
      <w:r w:rsidRPr="00E62D62">
        <w:rPr>
          <w:i/>
        </w:rPr>
        <w:t>Editions Plon v. France</w:t>
      </w:r>
      <w:r w:rsidRPr="00E62D62">
        <w:t>, no.</w:t>
      </w:r>
      <w:r w:rsidR="00A36E7A" w:rsidRPr="00E62D62">
        <w:t> </w:t>
      </w:r>
      <w:r w:rsidRPr="00E62D62">
        <w:t xml:space="preserve">58148/00, § 53, </w:t>
      </w:r>
      <w:r w:rsidR="00A36E7A" w:rsidRPr="00E62D62">
        <w:t>ECHR 2004</w:t>
      </w:r>
      <w:r w:rsidR="00A36E7A" w:rsidRPr="00E62D62">
        <w:noBreakHyphen/>
        <w:t xml:space="preserve">IV </w:t>
      </w:r>
      <w:r w:rsidRPr="00E62D62">
        <w:t xml:space="preserve">where the Court found that the protection of a medical secret was no longer justified since not only had some 40,000 copies of the book revealing medical secrets of former President </w:t>
      </w:r>
      <w:r w:rsidR="00E62D62" w:rsidRPr="00E62D62">
        <w:t>Mitterrand</w:t>
      </w:r>
      <w:r w:rsidRPr="00E62D62">
        <w:t xml:space="preserve"> already been sold, but it had also been disseminated on</w:t>
      </w:r>
      <w:r>
        <w:t xml:space="preserve"> the Internet and had been the subject of considerable media comment)</w:t>
      </w:r>
      <w:r w:rsidRPr="004A3D5A">
        <w:t xml:space="preserve">. </w:t>
      </w:r>
      <w:r>
        <w:t>There is therefore no implicit forfeiture of the right to confidentiality of medical data when “almost all”, but not all, the disputed information concerning the applicant</w:t>
      </w:r>
      <w:r w:rsidR="00CE66E6">
        <w:t>’</w:t>
      </w:r>
      <w:r>
        <w:t>s private life and her son</w:t>
      </w:r>
      <w:r w:rsidR="00CE66E6">
        <w:t>’</w:t>
      </w:r>
      <w:r>
        <w:t>s health had already been disseminated in the public domain, as the majority seem to conclude (see paragraph 48 of the judgment).</w:t>
      </w:r>
    </w:p>
    <w:p w:rsidR="00A36E7A" w:rsidRDefault="00A36E7A" w:rsidP="00630F34">
      <w:pPr>
        <w:pStyle w:val="OpiPara"/>
        <w:rPr>
          <w:u w:val="single"/>
        </w:rPr>
      </w:pPr>
    </w:p>
    <w:p w:rsidR="00404F2A" w:rsidRDefault="00630F34" w:rsidP="00630F34">
      <w:pPr>
        <w:pStyle w:val="OpiPara"/>
      </w:pPr>
      <w:r w:rsidRPr="00296A88">
        <w:rPr>
          <w:u w:val="single"/>
        </w:rPr>
        <w:t xml:space="preserve">The defence of the professional honour and reputation of a health professional may justify </w:t>
      </w:r>
      <w:r>
        <w:rPr>
          <w:u w:val="single"/>
        </w:rPr>
        <w:t>a</w:t>
      </w:r>
      <w:r w:rsidRPr="00296A88">
        <w:rPr>
          <w:u w:val="single"/>
        </w:rPr>
        <w:t xml:space="preserve"> breach of confidentiality of medical data. If the health prof</w:t>
      </w:r>
      <w:r>
        <w:rPr>
          <w:u w:val="single"/>
        </w:rPr>
        <w:t>essional</w:t>
      </w:r>
      <w:r w:rsidR="00CE66E6">
        <w:rPr>
          <w:u w:val="single"/>
        </w:rPr>
        <w:t>’</w:t>
      </w:r>
      <w:r>
        <w:rPr>
          <w:u w:val="single"/>
        </w:rPr>
        <w:t>s conduct is under the scrutiny of a civil or criminal court</w:t>
      </w:r>
      <w:r w:rsidRPr="00296A88">
        <w:rPr>
          <w:u w:val="single"/>
        </w:rPr>
        <w:t>, that professional may disclose medical data which is absolutely necessary to defend his or her conduc</w:t>
      </w:r>
      <w:r>
        <w:t>t. General criticism of a health service does not justify the disclosure of confidential medical data.</w:t>
      </w:r>
    </w:p>
    <w:p w:rsidR="00A36E7A" w:rsidRDefault="00A36E7A" w:rsidP="00630F34">
      <w:pPr>
        <w:pStyle w:val="OpiPara"/>
      </w:pPr>
    </w:p>
    <w:p w:rsidR="00630F34" w:rsidRDefault="00630F34" w:rsidP="00630F34">
      <w:pPr>
        <w:pStyle w:val="OpiPara"/>
      </w:pPr>
      <w:r>
        <w:t>4.</w:t>
      </w:r>
      <w:r w:rsidR="00A36E7A">
        <w:t>  </w:t>
      </w:r>
      <w:r>
        <w:t>In the light of these principles, the facts of the case show clearly that the director of the CWS did not act professionally. His behaviour seems rather to constitute an excessive reaction, providing a one-sided and distorted account of a real and identifiable case without giving due account to the autonomous interest of the child</w:t>
      </w:r>
      <w:r w:rsidR="00CE66E6">
        <w:t>’</w:t>
      </w:r>
      <w:r>
        <w:t>s welfare.</w:t>
      </w:r>
    </w:p>
    <w:p w:rsidR="00A36E7A" w:rsidRDefault="00A36E7A" w:rsidP="00630F34">
      <w:pPr>
        <w:pStyle w:val="OpiPara"/>
      </w:pPr>
    </w:p>
    <w:p w:rsidR="00630F34" w:rsidRDefault="00630F34" w:rsidP="00630F34">
      <w:pPr>
        <w:pStyle w:val="OpiPara"/>
      </w:pPr>
      <w:r>
        <w:t xml:space="preserve">In fact, the protagonists of the case mentioned by the director of the CWS were perfectly identifiable, not only by the individuals involved </w:t>
      </w:r>
      <w:r w:rsidRPr="00366F0F">
        <w:t>personally</w:t>
      </w:r>
      <w:r>
        <w:t xml:space="preserve"> in the case (the applicant, her son, the father of the child and former husband of the applicant and the applicant</w:t>
      </w:r>
      <w:r w:rsidR="00CE66E6">
        <w:t>’</w:t>
      </w:r>
      <w:r>
        <w:t>s new companion), but also by those professionally involved in the case (such as the doctors and psychiatrists who provided care to the child) and, even worse, by the general public. Any common citizen could easily identify the persons to whom the director of the CWS referred in the article of 15 June 2001, owing to the proximity in time of the newspaper articles and television interview of the applicant and the newspaper interview of the director of the CWS, who even specifically mentioned the applicant</w:t>
      </w:r>
      <w:r w:rsidR="00CE66E6">
        <w:t>’</w:t>
      </w:r>
      <w:r>
        <w:t>s television interview to which he was reacting. The conclusion of the Inspector of Journalistic Ethics, that “the applicant was recognisable”, is thus correct.</w:t>
      </w:r>
    </w:p>
    <w:p w:rsidR="00A36E7A" w:rsidRDefault="00A36E7A" w:rsidP="00630F34">
      <w:pPr>
        <w:pStyle w:val="OpiPara"/>
      </w:pPr>
    </w:p>
    <w:p w:rsidR="00404F2A" w:rsidRDefault="00630F34" w:rsidP="00630F34">
      <w:pPr>
        <w:pStyle w:val="OpiPara"/>
      </w:pPr>
      <w:r>
        <w:t>5.</w:t>
      </w:r>
      <w:r w:rsidR="00A36E7A">
        <w:t>  </w:t>
      </w:r>
      <w:r>
        <w:t>The gravity of the breach of the duty of confidentiality by the director of the CWS is compounded by three relevant facts. Firstly, the director of the CWS disclosed more information than that revealed by the applicant, and this information was particularly sensitive and damaging for the persons involved. In fact, the director of the CWS did not refrain from exposing to the general public a suspicion of sexual abuse of the child and even the results of the medical examinations performed in order to confirm that suspicion. He also referred to a supposed aggression of the child by the applicant, who had allegedly on one occasion pulled the child by his hair and bit him, as well as the explanation given by the mother to the doctors. These facts were never referred to by the mother in her press articles or television interview.</w:t>
      </w:r>
    </w:p>
    <w:p w:rsidR="00A36E7A" w:rsidRDefault="00A36E7A" w:rsidP="00630F34">
      <w:pPr>
        <w:pStyle w:val="OpiPara"/>
      </w:pPr>
    </w:p>
    <w:p w:rsidR="00630F34" w:rsidRDefault="00630F34" w:rsidP="00630F34">
      <w:pPr>
        <w:pStyle w:val="OpiPara"/>
      </w:pPr>
      <w:r>
        <w:t>Secondly, the breach of the duty of confidentiality is aggravated by the fact that the interview given by the director of the CWS portrayed the applicant as a selfish and unstable person, in “need of psychological help”, who did not care for the welfare of her child and was even violent towards him. Here again, the conclusion of the Inspector of Journalistic Ethics, that the applicant</w:t>
      </w:r>
      <w:r w:rsidR="00CE66E6">
        <w:t>’</w:t>
      </w:r>
      <w:r>
        <w:t>s “actions and life c</w:t>
      </w:r>
      <w:r w:rsidR="00A36E7A">
        <w:t>hoices were described one-sided</w:t>
      </w:r>
      <w:r>
        <w:t>ly, seeking to create a negative image”, is in our view pertinent. If the director of the CWS intended to defend the reputation of his service and its health professionals from the alleged “slander” committed by the applicant, he chose the wrong way of doing it, by breaching his duty of confidentiality and denigrating the applicant in public. Besides, the applicant</w:t>
      </w:r>
      <w:r w:rsidR="00CE66E6">
        <w:t>’</w:t>
      </w:r>
      <w:r>
        <w:t>s criticism of the services was not found to be in breach of the law, since no criminal or civil action was initiated by the CWS against the applicant. In fact, the Children</w:t>
      </w:r>
      <w:r w:rsidR="00CE66E6">
        <w:t>’</w:t>
      </w:r>
      <w:r>
        <w:t>s Rights Ombudsman even concluded that “the CWS employees did not take all the steps to protect the boy</w:t>
      </w:r>
      <w:r w:rsidR="00CE66E6">
        <w:t>’</w:t>
      </w:r>
      <w:r>
        <w:t>s interests”, thus giving credit to the applicant</w:t>
      </w:r>
      <w:r w:rsidR="00CE66E6">
        <w:t>’</w:t>
      </w:r>
      <w:r>
        <w:t>s criticism of the CWS.</w:t>
      </w:r>
    </w:p>
    <w:p w:rsidR="00A36E7A" w:rsidRDefault="00A36E7A" w:rsidP="00A36E7A">
      <w:pPr>
        <w:pStyle w:val="OpiPara"/>
      </w:pPr>
    </w:p>
    <w:p w:rsidR="00404F2A" w:rsidRDefault="00630F34" w:rsidP="00A36E7A">
      <w:pPr>
        <w:pStyle w:val="OpiPara"/>
      </w:pPr>
      <w:r>
        <w:t>Thirdly, the breach of the duty of confidentiality is obviously exacerbated by the intensity of the media coverage of the whole story. This coverage enhanced the negative impact of the words of the director of the CWS, and he was aware of this and took advantage of it in order to maximise that impact. Such behaviour is, to say the least, unprofessional.</w:t>
      </w:r>
    </w:p>
    <w:p w:rsidR="00A36E7A" w:rsidRDefault="00A36E7A" w:rsidP="00630F34">
      <w:pPr>
        <w:pStyle w:val="OpiPara"/>
      </w:pPr>
    </w:p>
    <w:p w:rsidR="00404F2A" w:rsidRDefault="00630F34" w:rsidP="00630F34">
      <w:pPr>
        <w:pStyle w:val="OpiPara"/>
      </w:pPr>
      <w:r>
        <w:t>6.</w:t>
      </w:r>
      <w:r w:rsidR="00A36E7A">
        <w:t>  </w:t>
      </w:r>
      <w:r>
        <w:t>The unethical way in which the director of the CWS acted was clearly perceived by the national authorities and even by the newspaper itself. The newspaper</w:t>
      </w:r>
      <w:r w:rsidR="00CE66E6">
        <w:t>’</w:t>
      </w:r>
      <w:r>
        <w:t>s apology on 18 June 2001, although acknowledging the unethical character of the article and interview published on 15 June 2001, came too late and did not repair the tremendous damage already caused to the applicant and her son by the allegations of the director of the CWS. The same applies to the acknowledgment by the Vilnius Child Development Centre on 4 September 2001 that the director of the CWS had acted unethically in disclosing the applicant</w:t>
      </w:r>
      <w:r w:rsidR="00CE66E6">
        <w:t>’</w:t>
      </w:r>
      <w:r>
        <w:t>s son medical records.</w:t>
      </w:r>
    </w:p>
    <w:p w:rsidR="00A36E7A" w:rsidRDefault="00A36E7A" w:rsidP="00A36E7A">
      <w:pPr>
        <w:pStyle w:val="OpiPara"/>
      </w:pPr>
    </w:p>
    <w:p w:rsidR="00630F34" w:rsidRDefault="00630F34" w:rsidP="00A36E7A">
      <w:pPr>
        <w:pStyle w:val="OpiPara"/>
      </w:pPr>
      <w:r>
        <w:t>Although the Supreme Court did explicitly disapprove of the conduct of the director of the CWS, no justice was done to the applicant or her son. While rightly reprimanding the director of the CWS in a separate ruling because “there was no ground warranting the publication of the information, nor was there a legitimate interest in society being informed thereof”, the Supreme Court in a contradictory decision dismissed the applicant</w:t>
      </w:r>
      <w:r w:rsidR="00CE66E6">
        <w:t>’</w:t>
      </w:r>
      <w:r>
        <w:t>s cassation appeal with the unfounded argument that the applicant was not recognisable. By doing</w:t>
      </w:r>
      <w:r w:rsidRPr="00EA700E">
        <w:t xml:space="preserve"> </w:t>
      </w:r>
      <w:r>
        <w:t>so, the Supreme Court did not take due account of the applicant</w:t>
      </w:r>
      <w:r w:rsidR="00CE66E6">
        <w:t>’</w:t>
      </w:r>
      <w:r>
        <w:t>s right to privacy and the autonomous interest of the child.</w:t>
      </w:r>
    </w:p>
    <w:p w:rsidR="009A70EB" w:rsidRPr="009A70EB" w:rsidRDefault="00630F34" w:rsidP="00A36E7A">
      <w:pPr>
        <w:pStyle w:val="OpiPara"/>
      </w:pPr>
      <w:r>
        <w:t>7.</w:t>
      </w:r>
      <w:r w:rsidR="00A36E7A">
        <w:t>  </w:t>
      </w:r>
      <w:r>
        <w:t>These are the reasons for which we conclude that there was an unauthorised and disproportionate interference with the applicant</w:t>
      </w:r>
      <w:r w:rsidR="00CE66E6">
        <w:t>’</w:t>
      </w:r>
      <w:r>
        <w:t>s right to privacy and ther</w:t>
      </w:r>
      <w:r w:rsidR="00A36E7A">
        <w:t>efore a violation of Article 8.</w:t>
      </w:r>
    </w:p>
    <w:sectPr w:rsidR="009A70EB" w:rsidRPr="009A70EB" w:rsidSect="00FD0913">
      <w:headerReference w:type="even" r:id="rId14"/>
      <w:headerReference w:type="default" r:id="rId15"/>
      <w:footnotePr>
        <w:numRestart w:val="eachPage"/>
      </w:footnotePr>
      <w:pgSz w:w="11906" w:h="16838" w:code="9"/>
      <w:pgMar w:top="2274" w:right="2274" w:bottom="2274" w:left="2274" w:header="1701"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C8" w:rsidRDefault="002A47C8">
      <w:r>
        <w:separator/>
      </w:r>
    </w:p>
  </w:endnote>
  <w:endnote w:type="continuationSeparator" w:id="0">
    <w:p w:rsidR="002A47C8" w:rsidRDefault="002A4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8D" w:rsidRPr="00150BFA" w:rsidRDefault="004175E7" w:rsidP="006D7D9B">
    <w:pPr>
      <w:jc w:val="center"/>
      <w:rPr>
        <w:sz w:val="4"/>
        <w:szCs w:val="4"/>
      </w:rPr>
    </w:pPr>
    <w:r>
      <w:rPr>
        <w:noProof/>
        <w:sz w:val="4"/>
        <w:szCs w:val="4"/>
        <w:lang w:val="ru-RU" w:eastAsia="ru-RU"/>
      </w:rPr>
      <w:drawing>
        <wp:inline distT="0" distB="0" distL="0" distR="0">
          <wp:extent cx="685800" cy="419100"/>
          <wp:effectExtent l="0" t="0" r="0" b="0"/>
          <wp:docPr id="2" name="Рисунок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srcRect/>
                  <a:stretch>
                    <a:fillRect/>
                  </a:stretch>
                </pic:blipFill>
                <pic:spPr bwMode="auto">
                  <a:xfrm>
                    <a:off x="0" y="0"/>
                    <a:ext cx="685800" cy="419100"/>
                  </a:xfrm>
                  <a:prstGeom prst="rect">
                    <a:avLst/>
                  </a:prstGeom>
                  <a:noFill/>
                  <a:ln w="9525">
                    <a:noFill/>
                    <a:miter lim="800000"/>
                    <a:headEnd/>
                    <a:tailEnd/>
                  </a:ln>
                </pic:spPr>
              </pic:pic>
            </a:graphicData>
          </a:graphic>
        </wp:inline>
      </w:drawing>
    </w:r>
  </w:p>
  <w:p w:rsidR="008E1F8D" w:rsidRDefault="008E1F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C8" w:rsidRDefault="002A47C8">
      <w:r>
        <w:separator/>
      </w:r>
    </w:p>
  </w:footnote>
  <w:footnote w:type="continuationSeparator" w:id="0">
    <w:p w:rsidR="002A47C8" w:rsidRDefault="002A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8D" w:rsidRDefault="008E1F8D" w:rsidP="00161877">
    <w:pPr>
      <w:pStyle w:val="Ju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8D" w:rsidRPr="00C00F0F" w:rsidRDefault="004175E7">
    <w:pPr>
      <w:pStyle w:val="a7"/>
      <w:jc w:val="center"/>
      <w:rPr>
        <w:sz w:val="4"/>
        <w:szCs w:val="4"/>
      </w:rPr>
    </w:pPr>
    <w:r>
      <w:rPr>
        <w:noProof/>
        <w:sz w:val="4"/>
        <w:szCs w:val="4"/>
        <w:lang w:val="ru-RU" w:eastAsia="ru-RU"/>
      </w:rPr>
      <w:drawing>
        <wp:inline distT="0" distB="0" distL="0" distR="0">
          <wp:extent cx="4095750" cy="2085975"/>
          <wp:effectExtent l="19050" t="0" r="0" b="0"/>
          <wp:docPr id="1" name="Рисунок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srcRect/>
                  <a:stretch>
                    <a:fillRect/>
                  </a:stretch>
                </pic:blipFill>
                <pic:spPr bwMode="auto">
                  <a:xfrm>
                    <a:off x="0" y="0"/>
                    <a:ext cx="4095750" cy="2085975"/>
                  </a:xfrm>
                  <a:prstGeom prst="rect">
                    <a:avLst/>
                  </a:prstGeom>
                  <a:noFill/>
                  <a:ln w="9525">
                    <a:noFill/>
                    <a:miter lim="800000"/>
                    <a:headEnd/>
                    <a:tailEnd/>
                  </a:ln>
                </pic:spPr>
              </pic:pic>
            </a:graphicData>
          </a:graphic>
        </wp:inline>
      </w:drawing>
    </w:r>
  </w:p>
  <w:p w:rsidR="008E1F8D" w:rsidRDefault="008E1F8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8D" w:rsidRDefault="00C40812">
    <w:pPr>
      <w:pStyle w:val="JuHeader"/>
    </w:pPr>
    <w:r>
      <w:rPr>
        <w:rStyle w:val="a8"/>
      </w:rPr>
      <w:fldChar w:fldCharType="begin"/>
    </w:r>
    <w:r w:rsidR="008E1F8D">
      <w:rPr>
        <w:rStyle w:val="a8"/>
      </w:rPr>
      <w:instrText xml:space="preserve"> PAGE </w:instrText>
    </w:r>
    <w:r>
      <w:rPr>
        <w:rStyle w:val="a8"/>
      </w:rPr>
      <w:fldChar w:fldCharType="separate"/>
    </w:r>
    <w:r w:rsidR="006E0C02">
      <w:rPr>
        <w:rStyle w:val="a8"/>
        <w:noProof/>
      </w:rPr>
      <w:t>1</w:t>
    </w:r>
    <w:r>
      <w:rPr>
        <w:rStyle w:val="a8"/>
      </w:rPr>
      <w:fldChar w:fldCharType="end"/>
    </w:r>
    <w:r w:rsidR="008E1F8D">
      <w:tab/>
      <w:t>VARAPNICKAITĖ-MAŽYLIENĖ v. LITHUANIA</w:t>
    </w:r>
    <w:r w:rsidR="003D4B4A">
      <w:t xml:space="preserve"> </w:t>
    </w:r>
    <w:r w:rsidR="008E1F8D">
      <w:t>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8D" w:rsidRDefault="008E1F8D">
    <w:pPr>
      <w:pStyle w:val="JuHeader"/>
    </w:pPr>
    <w:r>
      <w:tab/>
      <w:t>VARAPNICKAITĖ-MAŽYLIENĖ v. LITHUANIA</w:t>
    </w:r>
    <w:r w:rsidR="003D4B4A">
      <w:t xml:space="preserve"> </w:t>
    </w:r>
    <w:r>
      <w:t>JUDGMENT</w:t>
    </w:r>
    <w:r>
      <w:tab/>
    </w:r>
    <w:r w:rsidR="00C40812">
      <w:rPr>
        <w:rStyle w:val="a8"/>
      </w:rPr>
      <w:fldChar w:fldCharType="begin"/>
    </w:r>
    <w:r>
      <w:rPr>
        <w:rStyle w:val="a8"/>
      </w:rPr>
      <w:instrText xml:space="preserve"> PAGE </w:instrText>
    </w:r>
    <w:r w:rsidR="00C40812">
      <w:rPr>
        <w:rStyle w:val="a8"/>
      </w:rPr>
      <w:fldChar w:fldCharType="separate"/>
    </w:r>
    <w:r w:rsidR="004175E7">
      <w:rPr>
        <w:rStyle w:val="a8"/>
        <w:noProof/>
      </w:rPr>
      <w:t>1</w:t>
    </w:r>
    <w:r w:rsidR="00C40812">
      <w:rPr>
        <w:rStyle w:val="a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8D" w:rsidRDefault="00C40812">
    <w:pPr>
      <w:pStyle w:val="JuHeader"/>
    </w:pPr>
    <w:r>
      <w:rPr>
        <w:rStyle w:val="a8"/>
      </w:rPr>
      <w:fldChar w:fldCharType="begin"/>
    </w:r>
    <w:r w:rsidR="008E1F8D">
      <w:rPr>
        <w:rStyle w:val="a8"/>
      </w:rPr>
      <w:instrText xml:space="preserve"> PAGE </w:instrText>
    </w:r>
    <w:r>
      <w:rPr>
        <w:rStyle w:val="a8"/>
      </w:rPr>
      <w:fldChar w:fldCharType="separate"/>
    </w:r>
    <w:r w:rsidR="006E0C02">
      <w:rPr>
        <w:rStyle w:val="a8"/>
        <w:noProof/>
      </w:rPr>
      <w:t>1</w:t>
    </w:r>
    <w:r>
      <w:rPr>
        <w:rStyle w:val="a8"/>
      </w:rPr>
      <w:fldChar w:fldCharType="end"/>
    </w:r>
    <w:r w:rsidR="008E1F8D">
      <w:tab/>
      <w:t xml:space="preserve">VARAPNICKAITĖ-MAŽYLIENĖ v. </w:t>
    </w:r>
    <w:smartTag w:uri="urn:schemas-microsoft-com:office:smarttags" w:element="country-region">
      <w:smartTag w:uri="urn:schemas-microsoft-com:office:smarttags" w:element="place">
        <w:r w:rsidR="008E1F8D">
          <w:t>LITHUANIA</w:t>
        </w:r>
      </w:smartTag>
    </w:smartTag>
    <w:r w:rsidR="008E1F8D">
      <w:t xml:space="preserve"> – SEPARATE OPINION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8D" w:rsidRDefault="008E1F8D">
    <w:pPr>
      <w:pStyle w:val="JuHeader"/>
    </w:pPr>
    <w:r>
      <w:tab/>
      <w:t xml:space="preserve">VARAPNICKAITĖ-MAŽYLIENĖ v. </w:t>
    </w:r>
    <w:smartTag w:uri="urn:schemas-microsoft-com:office:smarttags" w:element="country-region">
      <w:smartTag w:uri="urn:schemas-microsoft-com:office:smarttags" w:element="place">
        <w:r>
          <w:t>LITHUANIA</w:t>
        </w:r>
      </w:smartTag>
    </w:smartTag>
    <w:r>
      <w:t xml:space="preserve"> – SEPARATE OPINION</w:t>
    </w:r>
    <w:r>
      <w:tab/>
    </w:r>
    <w:r w:rsidR="00C40812">
      <w:rPr>
        <w:rStyle w:val="a8"/>
      </w:rPr>
      <w:fldChar w:fldCharType="begin"/>
    </w:r>
    <w:r>
      <w:rPr>
        <w:rStyle w:val="a8"/>
      </w:rPr>
      <w:instrText xml:space="preserve"> PAGE </w:instrText>
    </w:r>
    <w:r w:rsidR="00C40812">
      <w:rPr>
        <w:rStyle w:val="a8"/>
      </w:rPr>
      <w:fldChar w:fldCharType="separate"/>
    </w:r>
    <w:r w:rsidR="006E0C02">
      <w:rPr>
        <w:rStyle w:val="a8"/>
        <w:noProof/>
      </w:rPr>
      <w:t>1</w:t>
    </w:r>
    <w:r w:rsidR="00C40812">
      <w:rPr>
        <w:rStyle w:val="a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F08"/>
  <w:defaultTabStop w:val="706"/>
  <w:hyphenationZone w:val="425"/>
  <w:evenAndOddHeaders/>
  <w:drawingGridHorizontalSpacing w:val="187"/>
  <w:displayHorizontalDrawingGridEvery w:val="0"/>
  <w:displayVerticalDrawingGridEvery w:val="0"/>
  <w:noPunctuationKerning/>
  <w:characterSpacingControl w:val="doNotCompress"/>
  <w:hdrShapeDefaults>
    <o:shapedefaults v:ext="edit" spidmax="4098"/>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F22905"/>
    <w:rsid w:val="00001CC5"/>
    <w:rsid w:val="0000305A"/>
    <w:rsid w:val="0000462A"/>
    <w:rsid w:val="0000779B"/>
    <w:rsid w:val="000161BB"/>
    <w:rsid w:val="000167B2"/>
    <w:rsid w:val="00020B3F"/>
    <w:rsid w:val="00021E36"/>
    <w:rsid w:val="0002340F"/>
    <w:rsid w:val="00026CEA"/>
    <w:rsid w:val="00030B84"/>
    <w:rsid w:val="00033FD2"/>
    <w:rsid w:val="0003679E"/>
    <w:rsid w:val="00042867"/>
    <w:rsid w:val="000431EA"/>
    <w:rsid w:val="00045830"/>
    <w:rsid w:val="0004796E"/>
    <w:rsid w:val="000479E2"/>
    <w:rsid w:val="00050009"/>
    <w:rsid w:val="000556EA"/>
    <w:rsid w:val="00055AC1"/>
    <w:rsid w:val="000568B5"/>
    <w:rsid w:val="00057A0E"/>
    <w:rsid w:val="00064D89"/>
    <w:rsid w:val="00067B70"/>
    <w:rsid w:val="000726F6"/>
    <w:rsid w:val="00076A67"/>
    <w:rsid w:val="00083657"/>
    <w:rsid w:val="00085837"/>
    <w:rsid w:val="00085B3A"/>
    <w:rsid w:val="00090C82"/>
    <w:rsid w:val="00093B58"/>
    <w:rsid w:val="000960F3"/>
    <w:rsid w:val="0009787B"/>
    <w:rsid w:val="000A3198"/>
    <w:rsid w:val="000A36C2"/>
    <w:rsid w:val="000A4F4C"/>
    <w:rsid w:val="000A6528"/>
    <w:rsid w:val="000B2D1A"/>
    <w:rsid w:val="000C026C"/>
    <w:rsid w:val="000C5B53"/>
    <w:rsid w:val="000C7A0B"/>
    <w:rsid w:val="000C7C52"/>
    <w:rsid w:val="000D0BB8"/>
    <w:rsid w:val="000D6108"/>
    <w:rsid w:val="000D75DE"/>
    <w:rsid w:val="000E1449"/>
    <w:rsid w:val="000F699D"/>
    <w:rsid w:val="001014F5"/>
    <w:rsid w:val="00104AD1"/>
    <w:rsid w:val="00106C6C"/>
    <w:rsid w:val="00111D99"/>
    <w:rsid w:val="001126FD"/>
    <w:rsid w:val="0011665B"/>
    <w:rsid w:val="00117413"/>
    <w:rsid w:val="00121CA6"/>
    <w:rsid w:val="00126213"/>
    <w:rsid w:val="001319F5"/>
    <w:rsid w:val="00133B7F"/>
    <w:rsid w:val="00136B4B"/>
    <w:rsid w:val="00140457"/>
    <w:rsid w:val="0015064F"/>
    <w:rsid w:val="00151CCA"/>
    <w:rsid w:val="001549A1"/>
    <w:rsid w:val="0016169C"/>
    <w:rsid w:val="00161877"/>
    <w:rsid w:val="00172205"/>
    <w:rsid w:val="001735A7"/>
    <w:rsid w:val="001812B2"/>
    <w:rsid w:val="00181CAD"/>
    <w:rsid w:val="00181CCC"/>
    <w:rsid w:val="00185D01"/>
    <w:rsid w:val="00193F9A"/>
    <w:rsid w:val="00194536"/>
    <w:rsid w:val="00197C29"/>
    <w:rsid w:val="001A0EBE"/>
    <w:rsid w:val="001B62B1"/>
    <w:rsid w:val="001B74F7"/>
    <w:rsid w:val="001D76EB"/>
    <w:rsid w:val="001E2BEF"/>
    <w:rsid w:val="001E71ED"/>
    <w:rsid w:val="001F0301"/>
    <w:rsid w:val="001F2F9F"/>
    <w:rsid w:val="001F429D"/>
    <w:rsid w:val="001F5586"/>
    <w:rsid w:val="001F7EAF"/>
    <w:rsid w:val="002132FE"/>
    <w:rsid w:val="0022139B"/>
    <w:rsid w:val="00222B3B"/>
    <w:rsid w:val="002251B4"/>
    <w:rsid w:val="00225BE5"/>
    <w:rsid w:val="002266CD"/>
    <w:rsid w:val="00246250"/>
    <w:rsid w:val="00250082"/>
    <w:rsid w:val="00252B31"/>
    <w:rsid w:val="00256A5B"/>
    <w:rsid w:val="00263C00"/>
    <w:rsid w:val="00264E4E"/>
    <w:rsid w:val="002655FE"/>
    <w:rsid w:val="0026789F"/>
    <w:rsid w:val="002975D0"/>
    <w:rsid w:val="00297942"/>
    <w:rsid w:val="002A02B5"/>
    <w:rsid w:val="002A47C8"/>
    <w:rsid w:val="002A4B6B"/>
    <w:rsid w:val="002B17A0"/>
    <w:rsid w:val="002B2755"/>
    <w:rsid w:val="002B2C86"/>
    <w:rsid w:val="002B2FC4"/>
    <w:rsid w:val="002B3FD0"/>
    <w:rsid w:val="002B6562"/>
    <w:rsid w:val="002B6CE9"/>
    <w:rsid w:val="002C63CD"/>
    <w:rsid w:val="002D3FB6"/>
    <w:rsid w:val="002E2280"/>
    <w:rsid w:val="002F015A"/>
    <w:rsid w:val="002F4BCF"/>
    <w:rsid w:val="002F6F6D"/>
    <w:rsid w:val="002F6FE9"/>
    <w:rsid w:val="003104E9"/>
    <w:rsid w:val="00313A40"/>
    <w:rsid w:val="0031573C"/>
    <w:rsid w:val="0032093A"/>
    <w:rsid w:val="00325C2B"/>
    <w:rsid w:val="00331943"/>
    <w:rsid w:val="00331EA1"/>
    <w:rsid w:val="00332547"/>
    <w:rsid w:val="00332ED1"/>
    <w:rsid w:val="00334678"/>
    <w:rsid w:val="003365BA"/>
    <w:rsid w:val="00336887"/>
    <w:rsid w:val="00337600"/>
    <w:rsid w:val="0033777E"/>
    <w:rsid w:val="0034289C"/>
    <w:rsid w:val="0034413F"/>
    <w:rsid w:val="00345207"/>
    <w:rsid w:val="0034580F"/>
    <w:rsid w:val="00346C77"/>
    <w:rsid w:val="00355750"/>
    <w:rsid w:val="0035792E"/>
    <w:rsid w:val="00360612"/>
    <w:rsid w:val="00362088"/>
    <w:rsid w:val="00371277"/>
    <w:rsid w:val="00377160"/>
    <w:rsid w:val="003856BB"/>
    <w:rsid w:val="00385F8D"/>
    <w:rsid w:val="00386922"/>
    <w:rsid w:val="0039636F"/>
    <w:rsid w:val="00396BF3"/>
    <w:rsid w:val="00397A66"/>
    <w:rsid w:val="003A2C29"/>
    <w:rsid w:val="003B50D7"/>
    <w:rsid w:val="003B7AE7"/>
    <w:rsid w:val="003C1A07"/>
    <w:rsid w:val="003C6DCC"/>
    <w:rsid w:val="003D4B4A"/>
    <w:rsid w:val="003D4D0E"/>
    <w:rsid w:val="003E2006"/>
    <w:rsid w:val="003E319C"/>
    <w:rsid w:val="003E3D85"/>
    <w:rsid w:val="003E636F"/>
    <w:rsid w:val="003F17CA"/>
    <w:rsid w:val="003F3090"/>
    <w:rsid w:val="003F3BFD"/>
    <w:rsid w:val="004017A4"/>
    <w:rsid w:val="00401C5B"/>
    <w:rsid w:val="00402F6D"/>
    <w:rsid w:val="00404F2A"/>
    <w:rsid w:val="004057C4"/>
    <w:rsid w:val="00413EFC"/>
    <w:rsid w:val="00414655"/>
    <w:rsid w:val="0041572A"/>
    <w:rsid w:val="004175E7"/>
    <w:rsid w:val="0041781A"/>
    <w:rsid w:val="00421044"/>
    <w:rsid w:val="00425474"/>
    <w:rsid w:val="00437503"/>
    <w:rsid w:val="004406AA"/>
    <w:rsid w:val="00452CF1"/>
    <w:rsid w:val="00457A18"/>
    <w:rsid w:val="00460FAD"/>
    <w:rsid w:val="0046537F"/>
    <w:rsid w:val="00485696"/>
    <w:rsid w:val="00485A6F"/>
    <w:rsid w:val="004920B1"/>
    <w:rsid w:val="00497EEC"/>
    <w:rsid w:val="004A0D37"/>
    <w:rsid w:val="004B52A7"/>
    <w:rsid w:val="004B5B50"/>
    <w:rsid w:val="004B5C05"/>
    <w:rsid w:val="004C00F3"/>
    <w:rsid w:val="004C4728"/>
    <w:rsid w:val="004D5A87"/>
    <w:rsid w:val="004D6B69"/>
    <w:rsid w:val="004E1E5A"/>
    <w:rsid w:val="004E5DFC"/>
    <w:rsid w:val="004E7455"/>
    <w:rsid w:val="004F01EA"/>
    <w:rsid w:val="004F4113"/>
    <w:rsid w:val="004F610A"/>
    <w:rsid w:val="0050096C"/>
    <w:rsid w:val="00501F67"/>
    <w:rsid w:val="005025D3"/>
    <w:rsid w:val="00505430"/>
    <w:rsid w:val="00506A98"/>
    <w:rsid w:val="00512186"/>
    <w:rsid w:val="00516EBF"/>
    <w:rsid w:val="00520EEA"/>
    <w:rsid w:val="00522362"/>
    <w:rsid w:val="00532597"/>
    <w:rsid w:val="00537534"/>
    <w:rsid w:val="00537EB0"/>
    <w:rsid w:val="005419B6"/>
    <w:rsid w:val="00546F49"/>
    <w:rsid w:val="00564ADC"/>
    <w:rsid w:val="00564E81"/>
    <w:rsid w:val="00564F38"/>
    <w:rsid w:val="00566575"/>
    <w:rsid w:val="0056771C"/>
    <w:rsid w:val="00574856"/>
    <w:rsid w:val="00575FBB"/>
    <w:rsid w:val="0057674C"/>
    <w:rsid w:val="005777BA"/>
    <w:rsid w:val="00577E6A"/>
    <w:rsid w:val="00585446"/>
    <w:rsid w:val="00586D15"/>
    <w:rsid w:val="005917E8"/>
    <w:rsid w:val="005933AE"/>
    <w:rsid w:val="005A0083"/>
    <w:rsid w:val="005B16A8"/>
    <w:rsid w:val="005B2522"/>
    <w:rsid w:val="005B2CDB"/>
    <w:rsid w:val="005B4233"/>
    <w:rsid w:val="005C1929"/>
    <w:rsid w:val="005C1956"/>
    <w:rsid w:val="005C25F1"/>
    <w:rsid w:val="005C2C88"/>
    <w:rsid w:val="005C2FC4"/>
    <w:rsid w:val="005C41CB"/>
    <w:rsid w:val="005D604E"/>
    <w:rsid w:val="005E0584"/>
    <w:rsid w:val="005E2C52"/>
    <w:rsid w:val="005E384F"/>
    <w:rsid w:val="005F52D3"/>
    <w:rsid w:val="005F7A10"/>
    <w:rsid w:val="00602F0A"/>
    <w:rsid w:val="006111FF"/>
    <w:rsid w:val="0061255D"/>
    <w:rsid w:val="0062787C"/>
    <w:rsid w:val="00630F34"/>
    <w:rsid w:val="00635682"/>
    <w:rsid w:val="00637CE6"/>
    <w:rsid w:val="00637D10"/>
    <w:rsid w:val="00640B82"/>
    <w:rsid w:val="006526DC"/>
    <w:rsid w:val="00655126"/>
    <w:rsid w:val="006639B6"/>
    <w:rsid w:val="006704A4"/>
    <w:rsid w:val="006803B9"/>
    <w:rsid w:val="00687617"/>
    <w:rsid w:val="00690A00"/>
    <w:rsid w:val="00691C45"/>
    <w:rsid w:val="00697F14"/>
    <w:rsid w:val="006A3D9D"/>
    <w:rsid w:val="006A7C48"/>
    <w:rsid w:val="006B5028"/>
    <w:rsid w:val="006C2B52"/>
    <w:rsid w:val="006C35C5"/>
    <w:rsid w:val="006D0A90"/>
    <w:rsid w:val="006D2519"/>
    <w:rsid w:val="006D29C6"/>
    <w:rsid w:val="006D7D9B"/>
    <w:rsid w:val="006E03D5"/>
    <w:rsid w:val="006E0C02"/>
    <w:rsid w:val="006E6954"/>
    <w:rsid w:val="006E6D33"/>
    <w:rsid w:val="006F30C8"/>
    <w:rsid w:val="00707A01"/>
    <w:rsid w:val="00710FD1"/>
    <w:rsid w:val="00712B47"/>
    <w:rsid w:val="007156E0"/>
    <w:rsid w:val="0072302D"/>
    <w:rsid w:val="00726BFA"/>
    <w:rsid w:val="00730053"/>
    <w:rsid w:val="00730433"/>
    <w:rsid w:val="00733D20"/>
    <w:rsid w:val="007352DD"/>
    <w:rsid w:val="00746303"/>
    <w:rsid w:val="00746CF3"/>
    <w:rsid w:val="00750E5E"/>
    <w:rsid w:val="00752046"/>
    <w:rsid w:val="00752E42"/>
    <w:rsid w:val="007547FA"/>
    <w:rsid w:val="00755855"/>
    <w:rsid w:val="00755ECA"/>
    <w:rsid w:val="00756D5B"/>
    <w:rsid w:val="0076400B"/>
    <w:rsid w:val="0077789B"/>
    <w:rsid w:val="00777E32"/>
    <w:rsid w:val="0078062F"/>
    <w:rsid w:val="007827E7"/>
    <w:rsid w:val="0079093C"/>
    <w:rsid w:val="0079187F"/>
    <w:rsid w:val="007A0E43"/>
    <w:rsid w:val="007A1FFE"/>
    <w:rsid w:val="007A357A"/>
    <w:rsid w:val="007A6DBA"/>
    <w:rsid w:val="007B0EEA"/>
    <w:rsid w:val="007C0D9A"/>
    <w:rsid w:val="007C1CE3"/>
    <w:rsid w:val="007D0D75"/>
    <w:rsid w:val="007D247B"/>
    <w:rsid w:val="007F735A"/>
    <w:rsid w:val="007F7DF1"/>
    <w:rsid w:val="00801663"/>
    <w:rsid w:val="00801FD3"/>
    <w:rsid w:val="00805528"/>
    <w:rsid w:val="00806E5F"/>
    <w:rsid w:val="008100C7"/>
    <w:rsid w:val="0081136A"/>
    <w:rsid w:val="008142DA"/>
    <w:rsid w:val="00825410"/>
    <w:rsid w:val="00827B34"/>
    <w:rsid w:val="00827E26"/>
    <w:rsid w:val="00827F1B"/>
    <w:rsid w:val="00846218"/>
    <w:rsid w:val="00846856"/>
    <w:rsid w:val="00847BC9"/>
    <w:rsid w:val="00853345"/>
    <w:rsid w:val="00864209"/>
    <w:rsid w:val="0086625A"/>
    <w:rsid w:val="008706D7"/>
    <w:rsid w:val="008733D3"/>
    <w:rsid w:val="00876F28"/>
    <w:rsid w:val="008824B9"/>
    <w:rsid w:val="0088315D"/>
    <w:rsid w:val="00883520"/>
    <w:rsid w:val="00886BB5"/>
    <w:rsid w:val="008A5E09"/>
    <w:rsid w:val="008B5BFB"/>
    <w:rsid w:val="008B6B3D"/>
    <w:rsid w:val="008C6F68"/>
    <w:rsid w:val="008D2407"/>
    <w:rsid w:val="008D29E5"/>
    <w:rsid w:val="008D7788"/>
    <w:rsid w:val="008E05A3"/>
    <w:rsid w:val="008E1F8D"/>
    <w:rsid w:val="008E486A"/>
    <w:rsid w:val="008E4A11"/>
    <w:rsid w:val="008E7025"/>
    <w:rsid w:val="008E7D5D"/>
    <w:rsid w:val="008F1DCD"/>
    <w:rsid w:val="008F2F89"/>
    <w:rsid w:val="00901475"/>
    <w:rsid w:val="009018FB"/>
    <w:rsid w:val="0090436C"/>
    <w:rsid w:val="00905763"/>
    <w:rsid w:val="00912698"/>
    <w:rsid w:val="009176D0"/>
    <w:rsid w:val="00923874"/>
    <w:rsid w:val="00924496"/>
    <w:rsid w:val="0092500D"/>
    <w:rsid w:val="00930CD7"/>
    <w:rsid w:val="00932C7B"/>
    <w:rsid w:val="009362D3"/>
    <w:rsid w:val="00941525"/>
    <w:rsid w:val="0094239F"/>
    <w:rsid w:val="0094330F"/>
    <w:rsid w:val="009451C3"/>
    <w:rsid w:val="009520B5"/>
    <w:rsid w:val="00956501"/>
    <w:rsid w:val="00964B5F"/>
    <w:rsid w:val="00965BD4"/>
    <w:rsid w:val="00966BE8"/>
    <w:rsid w:val="00976046"/>
    <w:rsid w:val="00983A65"/>
    <w:rsid w:val="009841FD"/>
    <w:rsid w:val="0098535B"/>
    <w:rsid w:val="009906A3"/>
    <w:rsid w:val="0099504F"/>
    <w:rsid w:val="00995F44"/>
    <w:rsid w:val="00996956"/>
    <w:rsid w:val="00997331"/>
    <w:rsid w:val="009A40A8"/>
    <w:rsid w:val="009A4B33"/>
    <w:rsid w:val="009A61D6"/>
    <w:rsid w:val="009A70EB"/>
    <w:rsid w:val="009B039E"/>
    <w:rsid w:val="009B15A1"/>
    <w:rsid w:val="009B367B"/>
    <w:rsid w:val="009B4A07"/>
    <w:rsid w:val="009B76D1"/>
    <w:rsid w:val="009D27C3"/>
    <w:rsid w:val="009D4B87"/>
    <w:rsid w:val="009D78FC"/>
    <w:rsid w:val="009E3F51"/>
    <w:rsid w:val="009E602E"/>
    <w:rsid w:val="009F07CC"/>
    <w:rsid w:val="009F15F8"/>
    <w:rsid w:val="009F18CE"/>
    <w:rsid w:val="009F40BB"/>
    <w:rsid w:val="009F5625"/>
    <w:rsid w:val="00A012A5"/>
    <w:rsid w:val="00A06191"/>
    <w:rsid w:val="00A063BE"/>
    <w:rsid w:val="00A07953"/>
    <w:rsid w:val="00A10122"/>
    <w:rsid w:val="00A11E88"/>
    <w:rsid w:val="00A12105"/>
    <w:rsid w:val="00A135BE"/>
    <w:rsid w:val="00A13F11"/>
    <w:rsid w:val="00A221FD"/>
    <w:rsid w:val="00A2484B"/>
    <w:rsid w:val="00A32B81"/>
    <w:rsid w:val="00A35C4C"/>
    <w:rsid w:val="00A36E7A"/>
    <w:rsid w:val="00A40D68"/>
    <w:rsid w:val="00A52B4D"/>
    <w:rsid w:val="00A5331A"/>
    <w:rsid w:val="00A614DA"/>
    <w:rsid w:val="00A64377"/>
    <w:rsid w:val="00A7049C"/>
    <w:rsid w:val="00A80135"/>
    <w:rsid w:val="00A80B6B"/>
    <w:rsid w:val="00A80F60"/>
    <w:rsid w:val="00A8381C"/>
    <w:rsid w:val="00A844BA"/>
    <w:rsid w:val="00A90D47"/>
    <w:rsid w:val="00A923B5"/>
    <w:rsid w:val="00A92AC8"/>
    <w:rsid w:val="00AA0A20"/>
    <w:rsid w:val="00AA373E"/>
    <w:rsid w:val="00AA68F6"/>
    <w:rsid w:val="00AA7CA2"/>
    <w:rsid w:val="00AB09E8"/>
    <w:rsid w:val="00AB2166"/>
    <w:rsid w:val="00AB5963"/>
    <w:rsid w:val="00AB5CC2"/>
    <w:rsid w:val="00AC134B"/>
    <w:rsid w:val="00AC1B1F"/>
    <w:rsid w:val="00AC69C6"/>
    <w:rsid w:val="00AD1B28"/>
    <w:rsid w:val="00AD2854"/>
    <w:rsid w:val="00AD2DB3"/>
    <w:rsid w:val="00AD57B2"/>
    <w:rsid w:val="00AD6C15"/>
    <w:rsid w:val="00AE1D61"/>
    <w:rsid w:val="00AE2F4F"/>
    <w:rsid w:val="00AE306C"/>
    <w:rsid w:val="00AE676B"/>
    <w:rsid w:val="00AF3514"/>
    <w:rsid w:val="00B004EE"/>
    <w:rsid w:val="00B0143F"/>
    <w:rsid w:val="00B02DD5"/>
    <w:rsid w:val="00B0594B"/>
    <w:rsid w:val="00B07C9D"/>
    <w:rsid w:val="00B07D6E"/>
    <w:rsid w:val="00B261BE"/>
    <w:rsid w:val="00B34242"/>
    <w:rsid w:val="00B3608A"/>
    <w:rsid w:val="00B37211"/>
    <w:rsid w:val="00B460AF"/>
    <w:rsid w:val="00B46E32"/>
    <w:rsid w:val="00B57465"/>
    <w:rsid w:val="00B574E7"/>
    <w:rsid w:val="00B57B44"/>
    <w:rsid w:val="00B619BB"/>
    <w:rsid w:val="00B64422"/>
    <w:rsid w:val="00B64488"/>
    <w:rsid w:val="00B65632"/>
    <w:rsid w:val="00B662B2"/>
    <w:rsid w:val="00B6763B"/>
    <w:rsid w:val="00B74ED7"/>
    <w:rsid w:val="00B76C0E"/>
    <w:rsid w:val="00B81192"/>
    <w:rsid w:val="00B853C9"/>
    <w:rsid w:val="00B853D2"/>
    <w:rsid w:val="00B921A8"/>
    <w:rsid w:val="00BA6B8F"/>
    <w:rsid w:val="00BB048F"/>
    <w:rsid w:val="00BB1F51"/>
    <w:rsid w:val="00BB3F4A"/>
    <w:rsid w:val="00BB69C2"/>
    <w:rsid w:val="00BC5AE8"/>
    <w:rsid w:val="00BC7EEE"/>
    <w:rsid w:val="00BD19AE"/>
    <w:rsid w:val="00BD4944"/>
    <w:rsid w:val="00BD70FD"/>
    <w:rsid w:val="00BD7C04"/>
    <w:rsid w:val="00BE0CC7"/>
    <w:rsid w:val="00BE50FE"/>
    <w:rsid w:val="00BE5958"/>
    <w:rsid w:val="00BE7995"/>
    <w:rsid w:val="00BF49FB"/>
    <w:rsid w:val="00C001F8"/>
    <w:rsid w:val="00C01E1C"/>
    <w:rsid w:val="00C02E48"/>
    <w:rsid w:val="00C03FF0"/>
    <w:rsid w:val="00C0629B"/>
    <w:rsid w:val="00C06EFE"/>
    <w:rsid w:val="00C10C26"/>
    <w:rsid w:val="00C11928"/>
    <w:rsid w:val="00C172B3"/>
    <w:rsid w:val="00C17E73"/>
    <w:rsid w:val="00C22851"/>
    <w:rsid w:val="00C2703A"/>
    <w:rsid w:val="00C27EF9"/>
    <w:rsid w:val="00C30671"/>
    <w:rsid w:val="00C31A64"/>
    <w:rsid w:val="00C343AB"/>
    <w:rsid w:val="00C35A5C"/>
    <w:rsid w:val="00C40328"/>
    <w:rsid w:val="00C40812"/>
    <w:rsid w:val="00C40A2F"/>
    <w:rsid w:val="00C43B8D"/>
    <w:rsid w:val="00C50E9E"/>
    <w:rsid w:val="00C55712"/>
    <w:rsid w:val="00C57751"/>
    <w:rsid w:val="00C629FF"/>
    <w:rsid w:val="00C63E30"/>
    <w:rsid w:val="00C72239"/>
    <w:rsid w:val="00C76AFF"/>
    <w:rsid w:val="00C8413C"/>
    <w:rsid w:val="00C94E14"/>
    <w:rsid w:val="00C96EBF"/>
    <w:rsid w:val="00CA0EBF"/>
    <w:rsid w:val="00CB1DC4"/>
    <w:rsid w:val="00CB5885"/>
    <w:rsid w:val="00CB5FFD"/>
    <w:rsid w:val="00CC1797"/>
    <w:rsid w:val="00CD3381"/>
    <w:rsid w:val="00CD47DF"/>
    <w:rsid w:val="00CD4D38"/>
    <w:rsid w:val="00CD5D90"/>
    <w:rsid w:val="00CE0F84"/>
    <w:rsid w:val="00CE1C9D"/>
    <w:rsid w:val="00CE66E6"/>
    <w:rsid w:val="00CE79CA"/>
    <w:rsid w:val="00CF166A"/>
    <w:rsid w:val="00CF1A6A"/>
    <w:rsid w:val="00CF7CA4"/>
    <w:rsid w:val="00D00569"/>
    <w:rsid w:val="00D102A7"/>
    <w:rsid w:val="00D11771"/>
    <w:rsid w:val="00D15473"/>
    <w:rsid w:val="00D2660C"/>
    <w:rsid w:val="00D26EFE"/>
    <w:rsid w:val="00D27FEA"/>
    <w:rsid w:val="00D33169"/>
    <w:rsid w:val="00D353F4"/>
    <w:rsid w:val="00D357B5"/>
    <w:rsid w:val="00D4178D"/>
    <w:rsid w:val="00D522F7"/>
    <w:rsid w:val="00D52A0D"/>
    <w:rsid w:val="00D56B5D"/>
    <w:rsid w:val="00D63793"/>
    <w:rsid w:val="00D63DED"/>
    <w:rsid w:val="00D64B17"/>
    <w:rsid w:val="00D70533"/>
    <w:rsid w:val="00D76B5D"/>
    <w:rsid w:val="00D90810"/>
    <w:rsid w:val="00DA52C5"/>
    <w:rsid w:val="00DB3889"/>
    <w:rsid w:val="00DB5B90"/>
    <w:rsid w:val="00DB6D67"/>
    <w:rsid w:val="00DC0FC4"/>
    <w:rsid w:val="00DC2093"/>
    <w:rsid w:val="00DC33AE"/>
    <w:rsid w:val="00DC5C22"/>
    <w:rsid w:val="00DC5EB6"/>
    <w:rsid w:val="00DD21BE"/>
    <w:rsid w:val="00DE589F"/>
    <w:rsid w:val="00DE5E8F"/>
    <w:rsid w:val="00DF2536"/>
    <w:rsid w:val="00DF2904"/>
    <w:rsid w:val="00DF5D78"/>
    <w:rsid w:val="00DF7B6F"/>
    <w:rsid w:val="00E04313"/>
    <w:rsid w:val="00E04E80"/>
    <w:rsid w:val="00E061A2"/>
    <w:rsid w:val="00E06FB2"/>
    <w:rsid w:val="00E11C96"/>
    <w:rsid w:val="00E24A48"/>
    <w:rsid w:val="00E24D9B"/>
    <w:rsid w:val="00E30844"/>
    <w:rsid w:val="00E32971"/>
    <w:rsid w:val="00E405B5"/>
    <w:rsid w:val="00E40C72"/>
    <w:rsid w:val="00E43D96"/>
    <w:rsid w:val="00E50968"/>
    <w:rsid w:val="00E5223C"/>
    <w:rsid w:val="00E526A4"/>
    <w:rsid w:val="00E53611"/>
    <w:rsid w:val="00E53EF9"/>
    <w:rsid w:val="00E54FB6"/>
    <w:rsid w:val="00E61023"/>
    <w:rsid w:val="00E62D62"/>
    <w:rsid w:val="00E63411"/>
    <w:rsid w:val="00E70C57"/>
    <w:rsid w:val="00E73EEA"/>
    <w:rsid w:val="00E75BA9"/>
    <w:rsid w:val="00E81663"/>
    <w:rsid w:val="00E83D0C"/>
    <w:rsid w:val="00E9155E"/>
    <w:rsid w:val="00E91693"/>
    <w:rsid w:val="00E955CA"/>
    <w:rsid w:val="00E96F0E"/>
    <w:rsid w:val="00EB3772"/>
    <w:rsid w:val="00EB3D82"/>
    <w:rsid w:val="00EB41E9"/>
    <w:rsid w:val="00EB5EBC"/>
    <w:rsid w:val="00EC2DAD"/>
    <w:rsid w:val="00EC4972"/>
    <w:rsid w:val="00ED01F1"/>
    <w:rsid w:val="00ED12C3"/>
    <w:rsid w:val="00ED3AC7"/>
    <w:rsid w:val="00EE0478"/>
    <w:rsid w:val="00EE1252"/>
    <w:rsid w:val="00EE2656"/>
    <w:rsid w:val="00EE47FF"/>
    <w:rsid w:val="00EE7911"/>
    <w:rsid w:val="00EF2384"/>
    <w:rsid w:val="00F002D4"/>
    <w:rsid w:val="00F06434"/>
    <w:rsid w:val="00F167BA"/>
    <w:rsid w:val="00F17FB3"/>
    <w:rsid w:val="00F22905"/>
    <w:rsid w:val="00F22E8B"/>
    <w:rsid w:val="00F30671"/>
    <w:rsid w:val="00F31E37"/>
    <w:rsid w:val="00F32BF1"/>
    <w:rsid w:val="00F43FF3"/>
    <w:rsid w:val="00F46D04"/>
    <w:rsid w:val="00F5124B"/>
    <w:rsid w:val="00F52764"/>
    <w:rsid w:val="00F53C08"/>
    <w:rsid w:val="00F61CF5"/>
    <w:rsid w:val="00F6796A"/>
    <w:rsid w:val="00F71A6A"/>
    <w:rsid w:val="00F73289"/>
    <w:rsid w:val="00F73D18"/>
    <w:rsid w:val="00F77DA7"/>
    <w:rsid w:val="00F819B8"/>
    <w:rsid w:val="00F834CE"/>
    <w:rsid w:val="00F83825"/>
    <w:rsid w:val="00F83C01"/>
    <w:rsid w:val="00F84604"/>
    <w:rsid w:val="00F92228"/>
    <w:rsid w:val="00F94742"/>
    <w:rsid w:val="00F948CE"/>
    <w:rsid w:val="00F95909"/>
    <w:rsid w:val="00FA2D2F"/>
    <w:rsid w:val="00FA5B02"/>
    <w:rsid w:val="00FA7C4E"/>
    <w:rsid w:val="00FB360C"/>
    <w:rsid w:val="00FB570A"/>
    <w:rsid w:val="00FB7264"/>
    <w:rsid w:val="00FB729F"/>
    <w:rsid w:val="00FD0913"/>
    <w:rsid w:val="00FD3387"/>
    <w:rsid w:val="00FD3E2F"/>
    <w:rsid w:val="00FE17C5"/>
    <w:rsid w:val="00FE1FD4"/>
    <w:rsid w:val="00FE2249"/>
    <w:rsid w:val="00FE6E31"/>
    <w:rsid w:val="00FF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24B9"/>
    <w:pPr>
      <w:suppressAutoHyphens/>
    </w:pPr>
    <w:rPr>
      <w:sz w:val="24"/>
      <w:lang w:val="en-GB" w:eastAsia="fr-FR"/>
    </w:rPr>
  </w:style>
  <w:style w:type="paragraph" w:styleId="1">
    <w:name w:val="heading 1"/>
    <w:basedOn w:val="a0"/>
    <w:next w:val="a0"/>
    <w:qFormat/>
    <w:rsid w:val="008824B9"/>
    <w:pPr>
      <w:keepNext/>
      <w:spacing w:before="360" w:after="240"/>
      <w:jc w:val="center"/>
      <w:outlineLvl w:val="0"/>
    </w:pPr>
    <w:rPr>
      <w:b/>
      <w:sz w:val="28"/>
    </w:rPr>
  </w:style>
  <w:style w:type="paragraph" w:styleId="2">
    <w:name w:val="heading 2"/>
    <w:basedOn w:val="a0"/>
    <w:next w:val="a0"/>
    <w:qFormat/>
    <w:rsid w:val="008824B9"/>
    <w:pPr>
      <w:keepNext/>
      <w:spacing w:before="240" w:after="120"/>
      <w:ind w:left="284" w:hanging="284"/>
      <w:outlineLvl w:val="1"/>
    </w:pPr>
    <w:rPr>
      <w:b/>
    </w:rPr>
  </w:style>
  <w:style w:type="paragraph" w:styleId="3">
    <w:name w:val="heading 3"/>
    <w:basedOn w:val="a0"/>
    <w:next w:val="a0"/>
    <w:qFormat/>
    <w:rsid w:val="008824B9"/>
    <w:pPr>
      <w:keepNext/>
      <w:spacing w:before="120" w:after="60"/>
      <w:ind w:left="1418" w:hanging="851"/>
      <w:outlineLvl w:val="2"/>
    </w:pPr>
    <w:rPr>
      <w:i/>
    </w:rPr>
  </w:style>
  <w:style w:type="paragraph" w:styleId="4">
    <w:name w:val="heading 4"/>
    <w:basedOn w:val="a0"/>
    <w:next w:val="a0"/>
    <w:qFormat/>
    <w:rsid w:val="00C40812"/>
    <w:pPr>
      <w:widowControl w:val="0"/>
      <w:outlineLvl w:val="3"/>
    </w:pPr>
    <w:rPr>
      <w:rFonts w:ascii="Courier" w:hAnsi="Courier"/>
      <w:snapToGrid w:val="0"/>
      <w:lang w:val="en-US" w:eastAsia="en-US"/>
    </w:rPr>
  </w:style>
  <w:style w:type="paragraph" w:styleId="5">
    <w:name w:val="heading 5"/>
    <w:basedOn w:val="a0"/>
    <w:next w:val="a0"/>
    <w:qFormat/>
    <w:rsid w:val="00C40812"/>
    <w:pPr>
      <w:widowControl w:val="0"/>
      <w:outlineLvl w:val="4"/>
    </w:pPr>
    <w:rPr>
      <w:rFonts w:ascii="Courier" w:hAnsi="Courier"/>
      <w:snapToGrid w:val="0"/>
      <w:lang w:val="en-US" w:eastAsia="en-US"/>
    </w:rPr>
  </w:style>
  <w:style w:type="paragraph" w:styleId="6">
    <w:name w:val="heading 6"/>
    <w:basedOn w:val="a0"/>
    <w:next w:val="a0"/>
    <w:qFormat/>
    <w:rsid w:val="00C40812"/>
    <w:pPr>
      <w:widowControl w:val="0"/>
      <w:outlineLvl w:val="5"/>
    </w:pPr>
    <w:rPr>
      <w:rFonts w:ascii="Courier" w:hAnsi="Courier"/>
      <w:snapToGrid w:val="0"/>
      <w:lang w:val="en-US" w:eastAsia="en-US"/>
    </w:rPr>
  </w:style>
  <w:style w:type="paragraph" w:styleId="7">
    <w:name w:val="heading 7"/>
    <w:basedOn w:val="a0"/>
    <w:next w:val="a0"/>
    <w:qFormat/>
    <w:rsid w:val="00C40812"/>
    <w:pPr>
      <w:widowControl w:val="0"/>
      <w:outlineLvl w:val="6"/>
    </w:pPr>
    <w:rPr>
      <w:rFonts w:ascii="Courier" w:hAnsi="Courier"/>
      <w:snapToGrid w:val="0"/>
      <w:lang w:val="en-US" w:eastAsia="en-US"/>
    </w:rPr>
  </w:style>
  <w:style w:type="paragraph" w:styleId="8">
    <w:name w:val="heading 8"/>
    <w:basedOn w:val="a0"/>
    <w:next w:val="a0"/>
    <w:qFormat/>
    <w:rsid w:val="00C40812"/>
    <w:pPr>
      <w:widowControl w:val="0"/>
      <w:outlineLvl w:val="7"/>
    </w:pPr>
    <w:rPr>
      <w:rFonts w:ascii="Courier" w:hAnsi="Courier"/>
      <w:snapToGrid w:val="0"/>
      <w:lang w:val="en-US" w:eastAsia="en-US"/>
    </w:rPr>
  </w:style>
  <w:style w:type="paragraph" w:styleId="9">
    <w:name w:val="heading 9"/>
    <w:basedOn w:val="a0"/>
    <w:next w:val="a0"/>
    <w:qFormat/>
    <w:rsid w:val="00C40812"/>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OpiHA">
    <w:name w:val="Opi_H_A"/>
    <w:basedOn w:val="JuHIRoman"/>
    <w:next w:val="OpiPara"/>
    <w:rsid w:val="00864209"/>
    <w:pPr>
      <w:tabs>
        <w:tab w:val="clear" w:pos="357"/>
      </w:tabs>
    </w:pPr>
    <w:rPr>
      <w:b/>
    </w:rPr>
  </w:style>
  <w:style w:type="paragraph" w:customStyle="1" w:styleId="JuHIRoman">
    <w:name w:val="Ju_H_I_Roman"/>
    <w:basedOn w:val="JuHHead"/>
    <w:next w:val="JuPara"/>
    <w:rsid w:val="00864209"/>
    <w:pPr>
      <w:tabs>
        <w:tab w:val="left" w:pos="357"/>
      </w:tabs>
      <w:spacing w:before="360"/>
      <w:ind w:left="357" w:hanging="357"/>
      <w:outlineLvl w:val="1"/>
    </w:pPr>
    <w:rPr>
      <w:sz w:val="24"/>
    </w:rPr>
  </w:style>
  <w:style w:type="paragraph" w:customStyle="1" w:styleId="JuHHead">
    <w:name w:val="Ju_H_Head"/>
    <w:basedOn w:val="NormalTimesNewRoman"/>
    <w:next w:val="JuPara"/>
    <w:rsid w:val="00864209"/>
    <w:pPr>
      <w:keepNext/>
      <w:keepLines/>
      <w:spacing w:before="720" w:after="240"/>
      <w:jc w:val="both"/>
      <w:outlineLvl w:val="0"/>
    </w:pPr>
    <w:rPr>
      <w:sz w:val="28"/>
    </w:rPr>
  </w:style>
  <w:style w:type="paragraph" w:customStyle="1" w:styleId="NormalTimesNewRoman">
    <w:name w:val="Normal_TimesNewRoman"/>
    <w:rsid w:val="00864209"/>
    <w:rPr>
      <w:sz w:val="24"/>
      <w:lang w:val="en-GB" w:eastAsia="fr-FR"/>
    </w:rPr>
  </w:style>
  <w:style w:type="paragraph" w:customStyle="1" w:styleId="JuPara">
    <w:name w:val="Ju_Para"/>
    <w:aliases w:val="Left,First line:  0 cm"/>
    <w:basedOn w:val="NormalTimesNewRoman"/>
    <w:link w:val="JuParaChar"/>
    <w:rsid w:val="00864209"/>
    <w:pPr>
      <w:ind w:firstLine="284"/>
      <w:jc w:val="both"/>
    </w:pPr>
  </w:style>
  <w:style w:type="character" w:customStyle="1" w:styleId="JuParaChar">
    <w:name w:val="Ju_Para Char"/>
    <w:basedOn w:val="a1"/>
    <w:link w:val="JuPara"/>
    <w:rsid w:val="00B921A8"/>
    <w:rPr>
      <w:sz w:val="24"/>
      <w:lang w:val="en-GB" w:eastAsia="fr-FR" w:bidi="ar-SA"/>
    </w:rPr>
  </w:style>
  <w:style w:type="paragraph" w:customStyle="1" w:styleId="OpiPara">
    <w:name w:val="Opi_Para"/>
    <w:basedOn w:val="JuPara"/>
    <w:rsid w:val="00864209"/>
  </w:style>
  <w:style w:type="paragraph" w:customStyle="1" w:styleId="OpiH1">
    <w:name w:val="Opi_H_1."/>
    <w:basedOn w:val="OpiHA"/>
    <w:next w:val="OpiPara"/>
    <w:rsid w:val="00864209"/>
    <w:pPr>
      <w:spacing w:before="240" w:after="120"/>
      <w:ind w:left="635"/>
      <w:outlineLvl w:val="2"/>
    </w:pPr>
    <w:rPr>
      <w:b w:val="0"/>
      <w:i/>
    </w:rPr>
  </w:style>
  <w:style w:type="paragraph" w:customStyle="1" w:styleId="OpiHa0">
    <w:name w:val="Opi_H_a"/>
    <w:basedOn w:val="OpiH1"/>
    <w:next w:val="OpiPara"/>
    <w:rsid w:val="00864209"/>
    <w:pPr>
      <w:ind w:left="833"/>
      <w:outlineLvl w:val="3"/>
    </w:pPr>
    <w:rPr>
      <w:b/>
      <w:i w:val="0"/>
      <w:sz w:val="20"/>
    </w:rPr>
  </w:style>
  <w:style w:type="paragraph" w:customStyle="1" w:styleId="OpiHHead">
    <w:name w:val="Opi_H_Head"/>
    <w:basedOn w:val="JuHHead"/>
    <w:next w:val="OpiPara"/>
    <w:rsid w:val="00864209"/>
    <w:pPr>
      <w:spacing w:before="0"/>
      <w:jc w:val="center"/>
    </w:pPr>
  </w:style>
  <w:style w:type="paragraph" w:customStyle="1" w:styleId="OpiHi">
    <w:name w:val="Opi_H_i"/>
    <w:basedOn w:val="OpiHa0"/>
    <w:next w:val="OpiPara"/>
    <w:rsid w:val="00864209"/>
    <w:pPr>
      <w:ind w:left="1037"/>
      <w:outlineLvl w:val="4"/>
    </w:pPr>
    <w:rPr>
      <w:b w:val="0"/>
      <w:i/>
    </w:rPr>
  </w:style>
  <w:style w:type="paragraph" w:styleId="a4">
    <w:name w:val="footer"/>
    <w:basedOn w:val="NormalTimesNewRoman"/>
    <w:rsid w:val="00864209"/>
    <w:pPr>
      <w:tabs>
        <w:tab w:val="center" w:pos="3686"/>
        <w:tab w:val="right" w:pos="7371"/>
      </w:tabs>
    </w:pPr>
    <w:rPr>
      <w:sz w:val="18"/>
    </w:rPr>
  </w:style>
  <w:style w:type="paragraph" w:customStyle="1" w:styleId="JuJudges">
    <w:name w:val="Ju_Judges"/>
    <w:basedOn w:val="NormalTimesNewRoman"/>
    <w:link w:val="JuJudgesChar"/>
    <w:rsid w:val="00864209"/>
    <w:pPr>
      <w:tabs>
        <w:tab w:val="left" w:pos="567"/>
        <w:tab w:val="left" w:pos="1134"/>
      </w:tabs>
    </w:pPr>
  </w:style>
  <w:style w:type="character" w:customStyle="1" w:styleId="JuJudgesChar">
    <w:name w:val="Ju_Judges Char"/>
    <w:basedOn w:val="a1"/>
    <w:link w:val="JuJudges"/>
    <w:locked/>
    <w:rsid w:val="00D15473"/>
    <w:rPr>
      <w:sz w:val="24"/>
      <w:lang w:val="en-GB" w:eastAsia="fr-FR" w:bidi="ar-SA"/>
    </w:rPr>
  </w:style>
  <w:style w:type="paragraph" w:customStyle="1" w:styleId="JuHA">
    <w:name w:val="Ju_H_A"/>
    <w:basedOn w:val="JuHIRoman"/>
    <w:next w:val="JuPara"/>
    <w:rsid w:val="00864209"/>
    <w:pPr>
      <w:tabs>
        <w:tab w:val="clear" w:pos="357"/>
        <w:tab w:val="left" w:pos="584"/>
      </w:tabs>
      <w:ind w:left="584" w:hanging="352"/>
      <w:outlineLvl w:val="2"/>
    </w:pPr>
    <w:rPr>
      <w:b/>
    </w:rPr>
  </w:style>
  <w:style w:type="paragraph" w:customStyle="1" w:styleId="JuQuot">
    <w:name w:val="Ju_Quot"/>
    <w:basedOn w:val="JuPara"/>
    <w:rsid w:val="00864209"/>
    <w:pPr>
      <w:spacing w:before="120" w:after="120"/>
      <w:ind w:left="425" w:firstLine="142"/>
    </w:pPr>
    <w:rPr>
      <w:sz w:val="20"/>
    </w:rPr>
  </w:style>
  <w:style w:type="paragraph" w:customStyle="1" w:styleId="JuSigned">
    <w:name w:val="Ju_Signed"/>
    <w:basedOn w:val="NormalTimesNewRoman"/>
    <w:next w:val="JuParaLast"/>
    <w:link w:val="JuSignedChar"/>
    <w:rsid w:val="00864209"/>
    <w:pPr>
      <w:tabs>
        <w:tab w:val="center" w:pos="851"/>
        <w:tab w:val="center" w:pos="6407"/>
      </w:tabs>
      <w:spacing w:before="720"/>
    </w:pPr>
  </w:style>
  <w:style w:type="paragraph" w:customStyle="1" w:styleId="JuParaLast">
    <w:name w:val="Ju_Para_Last"/>
    <w:basedOn w:val="JuPara"/>
    <w:next w:val="JuPara"/>
    <w:rsid w:val="00864209"/>
    <w:pPr>
      <w:keepNext/>
      <w:keepLines/>
      <w:spacing w:before="240"/>
    </w:pPr>
  </w:style>
  <w:style w:type="character" w:customStyle="1" w:styleId="JuSignedChar">
    <w:name w:val="Ju_Signed Char"/>
    <w:basedOn w:val="a1"/>
    <w:link w:val="JuSigned"/>
    <w:rsid w:val="000726F6"/>
    <w:rPr>
      <w:sz w:val="24"/>
      <w:lang w:val="en-GB" w:eastAsia="fr-FR" w:bidi="ar-SA"/>
    </w:rPr>
  </w:style>
  <w:style w:type="paragraph" w:customStyle="1" w:styleId="JuCase">
    <w:name w:val="Ju_Case"/>
    <w:basedOn w:val="JuPara"/>
    <w:next w:val="JuPara"/>
    <w:link w:val="JuCaseChar"/>
    <w:rsid w:val="00864209"/>
    <w:rPr>
      <w:b/>
    </w:rPr>
  </w:style>
  <w:style w:type="character" w:customStyle="1" w:styleId="JuCaseChar">
    <w:name w:val="Ju_Case Char"/>
    <w:basedOn w:val="JuParaChar"/>
    <w:link w:val="JuCase"/>
    <w:rsid w:val="00B921A8"/>
    <w:rPr>
      <w:b/>
      <w:sz w:val="24"/>
      <w:lang w:val="en-GB" w:eastAsia="fr-FR" w:bidi="ar-SA"/>
    </w:rPr>
  </w:style>
  <w:style w:type="paragraph" w:customStyle="1" w:styleId="JuList">
    <w:name w:val="Ju_List"/>
    <w:basedOn w:val="JuPara"/>
    <w:link w:val="JuListChar"/>
    <w:rsid w:val="00864209"/>
    <w:pPr>
      <w:ind w:left="340" w:hanging="340"/>
    </w:pPr>
  </w:style>
  <w:style w:type="character" w:customStyle="1" w:styleId="JuListChar">
    <w:name w:val="Ju_List Char"/>
    <w:basedOn w:val="a1"/>
    <w:link w:val="JuList"/>
    <w:rsid w:val="00930CD7"/>
    <w:rPr>
      <w:sz w:val="24"/>
      <w:lang w:val="en-GB" w:eastAsia="fr-FR" w:bidi="ar-SA"/>
    </w:rPr>
  </w:style>
  <w:style w:type="paragraph" w:customStyle="1" w:styleId="JuHArticle">
    <w:name w:val="Ju_H_Article"/>
    <w:basedOn w:val="JuHa0"/>
    <w:next w:val="JuQuot"/>
    <w:link w:val="JuHArticleChar"/>
    <w:rsid w:val="00864209"/>
    <w:pPr>
      <w:ind w:left="0" w:firstLine="0"/>
      <w:jc w:val="center"/>
    </w:pPr>
  </w:style>
  <w:style w:type="paragraph" w:customStyle="1" w:styleId="JuHa0">
    <w:name w:val="Ju_H_a"/>
    <w:basedOn w:val="JuH1"/>
    <w:next w:val="JuPara"/>
    <w:link w:val="JuHaChar"/>
    <w:rsid w:val="00864209"/>
    <w:pPr>
      <w:tabs>
        <w:tab w:val="clear" w:pos="731"/>
        <w:tab w:val="left" w:pos="975"/>
      </w:tabs>
      <w:ind w:left="975" w:hanging="340"/>
      <w:outlineLvl w:val="4"/>
    </w:pPr>
    <w:rPr>
      <w:b/>
      <w:i w:val="0"/>
      <w:sz w:val="20"/>
    </w:rPr>
  </w:style>
  <w:style w:type="paragraph" w:customStyle="1" w:styleId="JuH1">
    <w:name w:val="Ju_H_1."/>
    <w:basedOn w:val="JuHA"/>
    <w:next w:val="JuPara"/>
    <w:link w:val="JuH1Char"/>
    <w:rsid w:val="00864209"/>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C40812"/>
    <w:pPr>
      <w:tabs>
        <w:tab w:val="left" w:pos="1021"/>
      </w:tabs>
      <w:ind w:left="567" w:firstLine="0"/>
    </w:pPr>
  </w:style>
  <w:style w:type="paragraph" w:customStyle="1" w:styleId="JuCourt">
    <w:name w:val="Ju_Court"/>
    <w:basedOn w:val="JuJudges"/>
    <w:rsid w:val="00864209"/>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864209"/>
  </w:style>
  <w:style w:type="paragraph" w:customStyle="1" w:styleId="OpiTranslation">
    <w:name w:val="Opi_Translation"/>
    <w:basedOn w:val="OpiHHead"/>
    <w:next w:val="OpiPara"/>
    <w:rsid w:val="00864209"/>
    <w:rPr>
      <w:i/>
      <w:sz w:val="24"/>
    </w:rPr>
  </w:style>
  <w:style w:type="paragraph" w:styleId="a5">
    <w:name w:val="footnote text"/>
    <w:basedOn w:val="a0"/>
    <w:semiHidden/>
    <w:rsid w:val="00864209"/>
    <w:pPr>
      <w:jc w:val="both"/>
    </w:pPr>
    <w:rPr>
      <w:sz w:val="20"/>
    </w:rPr>
  </w:style>
  <w:style w:type="character" w:styleId="a6">
    <w:name w:val="footnote reference"/>
    <w:basedOn w:val="a1"/>
    <w:semiHidden/>
    <w:rsid w:val="00864209"/>
    <w:rPr>
      <w:vertAlign w:val="superscript"/>
    </w:rPr>
  </w:style>
  <w:style w:type="paragraph" w:customStyle="1" w:styleId="JuHi">
    <w:name w:val="Ju_H_i"/>
    <w:basedOn w:val="JuHa0"/>
    <w:next w:val="JuPara"/>
    <w:rsid w:val="00864209"/>
    <w:pPr>
      <w:tabs>
        <w:tab w:val="clear" w:pos="975"/>
        <w:tab w:val="left" w:pos="1191"/>
      </w:tabs>
      <w:ind w:left="1190" w:hanging="357"/>
      <w:outlineLvl w:val="5"/>
    </w:pPr>
    <w:rPr>
      <w:b w:val="0"/>
      <w:i/>
    </w:rPr>
  </w:style>
  <w:style w:type="paragraph" w:styleId="a7">
    <w:name w:val="header"/>
    <w:basedOn w:val="NormalTimesNewRoman"/>
    <w:rsid w:val="00864209"/>
    <w:pPr>
      <w:tabs>
        <w:tab w:val="center" w:pos="3686"/>
        <w:tab w:val="right" w:pos="7371"/>
      </w:tabs>
    </w:pPr>
    <w:rPr>
      <w:sz w:val="18"/>
    </w:rPr>
  </w:style>
  <w:style w:type="character" w:styleId="a8">
    <w:name w:val="page number"/>
    <w:basedOn w:val="a1"/>
    <w:rsid w:val="00864209"/>
    <w:rPr>
      <w:sz w:val="18"/>
    </w:rPr>
  </w:style>
  <w:style w:type="paragraph" w:customStyle="1" w:styleId="JuH">
    <w:name w:val="Ju_H_–"/>
    <w:basedOn w:val="JuHalpha"/>
    <w:next w:val="JuPara"/>
    <w:rsid w:val="00864209"/>
    <w:pPr>
      <w:tabs>
        <w:tab w:val="clear" w:pos="1372"/>
      </w:tabs>
      <w:ind w:left="1236" w:firstLine="0"/>
    </w:pPr>
    <w:rPr>
      <w:i/>
      <w:lang w:val="fr-FR"/>
    </w:rPr>
  </w:style>
  <w:style w:type="paragraph" w:customStyle="1" w:styleId="JuHalpha">
    <w:name w:val="Ju_H_alpha"/>
    <w:basedOn w:val="JuHi"/>
    <w:next w:val="JuPara"/>
    <w:rsid w:val="00864209"/>
    <w:pPr>
      <w:tabs>
        <w:tab w:val="clear" w:pos="1191"/>
        <w:tab w:val="left" w:pos="1372"/>
      </w:tabs>
      <w:ind w:left="1373" w:hanging="335"/>
    </w:pPr>
    <w:rPr>
      <w:i w:val="0"/>
    </w:rPr>
  </w:style>
  <w:style w:type="paragraph" w:customStyle="1" w:styleId="JuLista">
    <w:name w:val="Ju_List_a"/>
    <w:basedOn w:val="JuList"/>
    <w:rsid w:val="00864209"/>
    <w:pPr>
      <w:ind w:left="346" w:firstLine="0"/>
    </w:pPr>
  </w:style>
  <w:style w:type="paragraph" w:customStyle="1" w:styleId="JuListi">
    <w:name w:val="Ju_List_i"/>
    <w:basedOn w:val="JuLista"/>
    <w:rsid w:val="00864209"/>
    <w:pPr>
      <w:ind w:left="794"/>
    </w:pPr>
  </w:style>
  <w:style w:type="character" w:styleId="a9">
    <w:name w:val="annotation reference"/>
    <w:basedOn w:val="a1"/>
    <w:semiHidden/>
    <w:rsid w:val="00C40812"/>
    <w:rPr>
      <w:sz w:val="16"/>
    </w:rPr>
  </w:style>
  <w:style w:type="paragraph" w:styleId="aa">
    <w:name w:val="annotation text"/>
    <w:basedOn w:val="a0"/>
    <w:semiHidden/>
    <w:rsid w:val="00C40812"/>
    <w:rPr>
      <w:sz w:val="20"/>
    </w:rPr>
  </w:style>
  <w:style w:type="paragraph" w:customStyle="1" w:styleId="JuInitialled">
    <w:name w:val="Ju_Initialled"/>
    <w:basedOn w:val="JuSigned"/>
    <w:rsid w:val="00864209"/>
    <w:pPr>
      <w:tabs>
        <w:tab w:val="clear" w:pos="851"/>
      </w:tabs>
      <w:jc w:val="right"/>
    </w:pPr>
  </w:style>
  <w:style w:type="paragraph" w:customStyle="1" w:styleId="JuHeader">
    <w:name w:val="Ju_Header"/>
    <w:basedOn w:val="a7"/>
    <w:rsid w:val="00864209"/>
  </w:style>
  <w:style w:type="paragraph" w:customStyle="1" w:styleId="DecHTitle">
    <w:name w:val="Dec_H_Title"/>
    <w:basedOn w:val="NormalTimesNewRoman"/>
    <w:rsid w:val="00864209"/>
    <w:pPr>
      <w:spacing w:after="240"/>
      <w:jc w:val="center"/>
      <w:outlineLvl w:val="0"/>
    </w:pPr>
    <w:rPr>
      <w:sz w:val="28"/>
    </w:rPr>
  </w:style>
  <w:style w:type="paragraph" w:customStyle="1" w:styleId="DecHCase">
    <w:name w:val="Dec_H_Case"/>
    <w:basedOn w:val="DecHTitle"/>
    <w:next w:val="JuPara"/>
    <w:rsid w:val="00864209"/>
    <w:rPr>
      <w:sz w:val="24"/>
    </w:rPr>
  </w:style>
  <w:style w:type="paragraph" w:customStyle="1" w:styleId="DecList">
    <w:name w:val="Dec_List"/>
    <w:basedOn w:val="NormalTimesNewRoman"/>
    <w:rsid w:val="00864209"/>
    <w:pPr>
      <w:spacing w:before="240"/>
      <w:ind w:left="284"/>
      <w:jc w:val="both"/>
    </w:pPr>
  </w:style>
  <w:style w:type="paragraph" w:customStyle="1" w:styleId="JuParaSub">
    <w:name w:val="Ju_Para_Sub"/>
    <w:basedOn w:val="JuPara"/>
    <w:rsid w:val="00864209"/>
    <w:pPr>
      <w:ind w:left="284"/>
    </w:pPr>
    <w:rPr>
      <w:szCs w:val="24"/>
    </w:rPr>
  </w:style>
  <w:style w:type="paragraph" w:customStyle="1" w:styleId="JuQuotSub">
    <w:name w:val="Ju_Quot_Sub"/>
    <w:basedOn w:val="JuQuot"/>
    <w:rsid w:val="00864209"/>
    <w:pPr>
      <w:ind w:left="567"/>
    </w:pPr>
  </w:style>
  <w:style w:type="paragraph" w:styleId="ab">
    <w:name w:val="Balloon Text"/>
    <w:basedOn w:val="a0"/>
    <w:semiHidden/>
    <w:rsid w:val="00457A18"/>
    <w:rPr>
      <w:rFonts w:ascii="Tahoma" w:hAnsi="Tahoma" w:cs="Tahoma"/>
      <w:sz w:val="16"/>
      <w:szCs w:val="16"/>
    </w:rPr>
  </w:style>
  <w:style w:type="paragraph" w:styleId="ac">
    <w:name w:val="annotation subject"/>
    <w:basedOn w:val="aa"/>
    <w:next w:val="aa"/>
    <w:semiHidden/>
    <w:rsid w:val="00D353F4"/>
    <w:rPr>
      <w:b/>
      <w:bCs/>
    </w:rPr>
  </w:style>
  <w:style w:type="character" w:styleId="ad">
    <w:name w:val="endnote reference"/>
    <w:basedOn w:val="a1"/>
    <w:semiHidden/>
    <w:rsid w:val="00864209"/>
    <w:rPr>
      <w:vertAlign w:val="superscript"/>
    </w:rPr>
  </w:style>
  <w:style w:type="paragraph" w:styleId="ae">
    <w:name w:val="endnote text"/>
    <w:basedOn w:val="a0"/>
    <w:semiHidden/>
    <w:rsid w:val="00864209"/>
    <w:rPr>
      <w:sz w:val="20"/>
    </w:rPr>
  </w:style>
  <w:style w:type="character" w:styleId="af">
    <w:name w:val="FollowedHyperlink"/>
    <w:basedOn w:val="a1"/>
    <w:rsid w:val="00864209"/>
    <w:rPr>
      <w:color w:val="800080"/>
      <w:u w:val="single"/>
    </w:rPr>
  </w:style>
  <w:style w:type="paragraph" w:customStyle="1" w:styleId="SuCoverTitle1">
    <w:name w:val="Su_Cover_Title1"/>
    <w:basedOn w:val="NormalTimesNewRoman"/>
    <w:next w:val="SuCoverTitle2"/>
    <w:rsid w:val="00864209"/>
    <w:pPr>
      <w:spacing w:before="2500"/>
      <w:jc w:val="center"/>
    </w:pPr>
    <w:rPr>
      <w:sz w:val="22"/>
    </w:rPr>
  </w:style>
  <w:style w:type="paragraph" w:customStyle="1" w:styleId="SuCoverTitle2">
    <w:name w:val="Su_Cover_Title2"/>
    <w:basedOn w:val="SuCoverTitle1"/>
    <w:next w:val="a0"/>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pacing w:before="360"/>
      <w:jc w:val="both"/>
    </w:pPr>
    <w:rPr>
      <w:b/>
      <w:sz w:val="22"/>
    </w:rPr>
  </w:style>
  <w:style w:type="paragraph" w:customStyle="1" w:styleId="SuSummary">
    <w:name w:val="Su_Summary"/>
    <w:basedOn w:val="NormalTimesNewRoman"/>
    <w:next w:val="SuSubject"/>
    <w:rsid w:val="00864209"/>
    <w:pPr>
      <w:spacing w:after="240"/>
      <w:jc w:val="center"/>
    </w:pPr>
  </w:style>
  <w:style w:type="paragraph" w:customStyle="1" w:styleId="OpiParaSub">
    <w:name w:val="Opi_Para_Sub"/>
    <w:basedOn w:val="JuParaSub"/>
    <w:rsid w:val="00864209"/>
  </w:style>
  <w:style w:type="paragraph" w:customStyle="1" w:styleId="OpiQuotSub">
    <w:name w:val="Opi_Quot_Sub"/>
    <w:basedOn w:val="JuQuotSub"/>
    <w:rsid w:val="00864209"/>
  </w:style>
  <w:style w:type="character" w:styleId="af0">
    <w:name w:val="Hyperlink"/>
    <w:basedOn w:val="a1"/>
    <w:rsid w:val="00864209"/>
    <w:rPr>
      <w:color w:val="0000FF"/>
      <w:u w:val="single"/>
    </w:rPr>
  </w:style>
  <w:style w:type="character" w:styleId="af1">
    <w:name w:val="Strong"/>
    <w:basedOn w:val="a1"/>
    <w:qFormat/>
    <w:rsid w:val="00AA7CA2"/>
    <w:rPr>
      <w:b/>
      <w:bCs/>
    </w:rPr>
  </w:style>
  <w:style w:type="paragraph" w:styleId="af2">
    <w:name w:val="Document Map"/>
    <w:basedOn w:val="a0"/>
    <w:semiHidden/>
    <w:rsid w:val="008824B9"/>
    <w:pPr>
      <w:shd w:val="clear" w:color="auto" w:fill="000080"/>
    </w:pPr>
    <w:rPr>
      <w:rFonts w:ascii="Tahoma" w:hAnsi="Tahoma" w:cs="Tahoma"/>
      <w:sz w:val="20"/>
    </w:rPr>
  </w:style>
  <w:style w:type="character" w:customStyle="1" w:styleId="JuNames">
    <w:name w:val="Ju_Names"/>
    <w:basedOn w:val="a1"/>
    <w:rsid w:val="00864209"/>
    <w:rPr>
      <w:smallCaps/>
    </w:rPr>
  </w:style>
  <w:style w:type="paragraph" w:customStyle="1" w:styleId="NormalJustified">
    <w:name w:val="Normal_Justified"/>
    <w:basedOn w:val="a0"/>
    <w:rsid w:val="008824B9"/>
    <w:pPr>
      <w:jc w:val="both"/>
    </w:pPr>
  </w:style>
  <w:style w:type="paragraph" w:customStyle="1" w:styleId="JuAppQuestion">
    <w:name w:val="Ju_App_Question"/>
    <w:basedOn w:val="a"/>
    <w:rsid w:val="00864209"/>
    <w:pPr>
      <w:numPr>
        <w:numId w:val="4"/>
      </w:numPr>
      <w:suppressAutoHyphens w:val="0"/>
    </w:pPr>
    <w:rPr>
      <w:b/>
      <w:color w:val="333333"/>
    </w:rPr>
  </w:style>
  <w:style w:type="paragraph" w:styleId="a">
    <w:name w:val="List Bullet"/>
    <w:basedOn w:val="a0"/>
    <w:rsid w:val="008824B9"/>
    <w:pPr>
      <w:numPr>
        <w:numId w:val="2"/>
      </w:numPr>
    </w:pPr>
  </w:style>
  <w:style w:type="paragraph" w:styleId="HTML">
    <w:name w:val="HTML Preformatted"/>
    <w:basedOn w:val="a0"/>
    <w:rsid w:val="00E7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GB"/>
    </w:rPr>
  </w:style>
  <w:style w:type="character" w:customStyle="1" w:styleId="ju--005fpara----char--char">
    <w:name w:val="ju--005fpara----char--char"/>
    <w:basedOn w:val="a1"/>
    <w:rsid w:val="00E73EEA"/>
  </w:style>
  <w:style w:type="character" w:customStyle="1" w:styleId="ju-005fpara--char">
    <w:name w:val="ju-005fpara--char"/>
    <w:basedOn w:val="a1"/>
    <w:rsid w:val="009018FB"/>
  </w:style>
  <w:style w:type="character" w:customStyle="1" w:styleId="JuH1Char">
    <w:name w:val="Ju_H_1. Char"/>
    <w:basedOn w:val="a1"/>
    <w:link w:val="JuH1"/>
    <w:rsid w:val="00C03FF0"/>
    <w:rPr>
      <w:i/>
      <w:sz w:val="24"/>
      <w:lang w:val="en-GB" w:eastAsia="fr-FR" w:bidi="ar-SA"/>
    </w:rPr>
  </w:style>
  <w:style w:type="character" w:customStyle="1" w:styleId="JuHaChar">
    <w:name w:val="Ju_H_a Char"/>
    <w:basedOn w:val="a1"/>
    <w:link w:val="JuHa0"/>
    <w:rsid w:val="00BD7C04"/>
    <w:rPr>
      <w:b/>
      <w:lang w:val="en-GB" w:eastAsia="fr-FR" w:bidi="ar-SA"/>
    </w:rPr>
  </w:style>
  <w:style w:type="character" w:customStyle="1" w:styleId="JuParaCar">
    <w:name w:val="Ju_Para Car"/>
    <w:basedOn w:val="a1"/>
    <w:rsid w:val="00733D20"/>
    <w:rPr>
      <w:sz w:val="24"/>
      <w:lang w:val="en-GB" w:eastAsia="en-US" w:bidi="ar-SA"/>
    </w:rPr>
  </w:style>
  <w:style w:type="character" w:customStyle="1" w:styleId="opi-005fpara--char">
    <w:name w:val="opi-005fpara--char"/>
    <w:basedOn w:val="a1"/>
    <w:rsid w:val="00A35C4C"/>
  </w:style>
  <w:style w:type="character" w:customStyle="1" w:styleId="JuHArticleChar">
    <w:name w:val="Ju_H_Article Char"/>
    <w:basedOn w:val="a1"/>
    <w:link w:val="JuHArticle"/>
    <w:rsid w:val="00DA52C5"/>
    <w:rPr>
      <w:b/>
      <w:lang w:val="en-GB" w:eastAsia="fr-FR" w:bidi="ar-SA"/>
    </w:rPr>
  </w:style>
  <w:style w:type="paragraph" w:customStyle="1" w:styleId="normal">
    <w:name w:val="normal"/>
    <w:basedOn w:val="a0"/>
    <w:link w:val="normalChar"/>
    <w:rsid w:val="00CE66E6"/>
    <w:pPr>
      <w:suppressAutoHyphens w:val="0"/>
      <w:spacing w:before="100" w:beforeAutospacing="1" w:after="100" w:afterAutospacing="1"/>
    </w:pPr>
    <w:rPr>
      <w:szCs w:val="24"/>
      <w:lang w:eastAsia="en-GB"/>
    </w:rPr>
  </w:style>
  <w:style w:type="character" w:customStyle="1" w:styleId="normalChar">
    <w:name w:val="normal Char"/>
    <w:basedOn w:val="a1"/>
    <w:link w:val="normal"/>
    <w:rsid w:val="00CE66E6"/>
    <w:rPr>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16376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736AB-7CB0-47D2-8EF5-9BD8739B23E1}">
  <ds:schemaRefs>
    <ds:schemaRef ds:uri="http://schemas.microsoft.com/sharepoint/v3/contenttype/forms"/>
  </ds:schemaRefs>
</ds:datastoreItem>
</file>

<file path=customXml/itemProps2.xml><?xml version="1.0" encoding="utf-8"?>
<ds:datastoreItem xmlns:ds="http://schemas.openxmlformats.org/officeDocument/2006/customXml" ds:itemID="{BA6A7054-A5EE-4B39-91CC-F8AECBD7D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8220</Words>
  <Characters>46858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2012-01-05T13:07:00Z</cp:lastPrinted>
  <dcterms:created xsi:type="dcterms:W3CDTF">2015-05-01T20:28:00Z</dcterms:created>
  <dcterms:modified xsi:type="dcterms:W3CDTF">2015-05-01T20:28:00Z</dcterms:modified>
  <cp:category>ECHR Template</cp:category>
</cp:coreProperties>
</file>